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42370" w:rsidRPr="00151B2B" w:rsidRDefault="00442370" w:rsidP="00B00834">
      <w:pPr>
        <w:jc w:val="both"/>
        <w:rPr>
          <w:b/>
          <w:sz w:val="28"/>
          <w:szCs w:val="28"/>
        </w:rPr>
      </w:pPr>
      <w:bookmarkStart w:id="0" w:name="_GoBack"/>
      <w:bookmarkEnd w:id="0"/>
      <w:r w:rsidRPr="00151B2B">
        <w:rPr>
          <w:b/>
          <w:sz w:val="28"/>
          <w:szCs w:val="28"/>
        </w:rPr>
        <w:t>Der Zug ins Nirgendwo</w:t>
      </w:r>
    </w:p>
    <w:p w:rsidR="00442370" w:rsidRPr="00151B2B" w:rsidRDefault="00442370" w:rsidP="00B00834">
      <w:pPr>
        <w:jc w:val="both"/>
        <w:rPr>
          <w:b/>
          <w:sz w:val="28"/>
          <w:szCs w:val="28"/>
        </w:rPr>
      </w:pPr>
      <w:r w:rsidRPr="00151B2B">
        <w:rPr>
          <w:b/>
          <w:sz w:val="28"/>
          <w:szCs w:val="28"/>
        </w:rPr>
        <w:t xml:space="preserve">Repräsentation von </w:t>
      </w:r>
      <w:r>
        <w:rPr>
          <w:b/>
          <w:sz w:val="28"/>
          <w:szCs w:val="28"/>
        </w:rPr>
        <w:t>Sho’ah und Alterität in Radu Mi</w:t>
      </w:r>
      <w:r w:rsidRPr="00151B2B">
        <w:rPr>
          <w:b/>
          <w:sz w:val="28"/>
          <w:szCs w:val="28"/>
        </w:rPr>
        <w:t xml:space="preserve">haileanus </w:t>
      </w:r>
      <w:r w:rsidRPr="00151B2B">
        <w:rPr>
          <w:b/>
          <w:i/>
          <w:sz w:val="28"/>
          <w:szCs w:val="28"/>
        </w:rPr>
        <w:t>Train de vie</w:t>
      </w:r>
    </w:p>
    <w:p w:rsidR="00442370" w:rsidRDefault="00442370" w:rsidP="00B00834">
      <w:pPr>
        <w:jc w:val="both"/>
      </w:pPr>
    </w:p>
    <w:p w:rsidR="008D475E" w:rsidRDefault="00D90177" w:rsidP="00B00834">
      <w:pPr>
        <w:jc w:val="both"/>
      </w:pPr>
      <w:r>
        <w:t>Das Schtetl kennt man, vermeintlich, irgendwie ... Und m</w:t>
      </w:r>
      <w:r w:rsidR="001E2B76">
        <w:t>an weiß auch, dass es lustig zu</w:t>
      </w:r>
      <w:r>
        <w:t>ging</w:t>
      </w:r>
      <w:r w:rsidR="001E2B76">
        <w:t>,</w:t>
      </w:r>
      <w:r>
        <w:t xml:space="preserve"> dass</w:t>
      </w:r>
      <w:r w:rsidR="001E2B76">
        <w:t xml:space="preserve"> aber</w:t>
      </w:r>
      <w:r>
        <w:t xml:space="preserve"> der Tod das Lachen verstummen ließ.</w:t>
      </w:r>
      <w:r w:rsidR="008709C9">
        <w:t xml:space="preserve"> </w:t>
      </w:r>
      <w:r w:rsidR="00EF3DC1">
        <w:t>Als Ikone für verlorene Heimat und Schrecken der Sho’ah fokussiert dieser imaginäre Ort Fremdheit und Vernichtung im Nirgendwo.</w:t>
      </w:r>
      <w:r w:rsidR="005F3FCD">
        <w:t xml:space="preserve"> Radu Mihaileanus Spielfilm </w:t>
      </w:r>
      <w:r w:rsidR="005F3FCD" w:rsidRPr="007D49A2">
        <w:rPr>
          <w:i/>
        </w:rPr>
        <w:t>Train de vie</w:t>
      </w:r>
      <w:r w:rsidR="005F3FCD">
        <w:rPr>
          <w:rStyle w:val="Appelnotedebasdep"/>
          <w:i/>
        </w:rPr>
        <w:footnoteReference w:id="1"/>
      </w:r>
      <w:r w:rsidR="005F3FCD">
        <w:t xml:space="preserve"> (1998)</w:t>
      </w:r>
      <w:r w:rsidR="00D74BA5">
        <w:t xml:space="preserve"> bündelt diese beiden Aspekte. Mich interessiert an dem Film, wie er die Doppeldeutigkeit des Titels umsetzt und gleichzeitig vom lebensrettenden Zug </w:t>
      </w:r>
      <w:r w:rsidR="00CB010A">
        <w:t xml:space="preserve">– </w:t>
      </w:r>
      <w:r w:rsidR="00D74BA5">
        <w:t>im Gegensat</w:t>
      </w:r>
      <w:r w:rsidR="00362D83">
        <w:t>z</w:t>
      </w:r>
      <w:r w:rsidR="00D74BA5">
        <w:t xml:space="preserve"> zu den Todeszügen der Nazis </w:t>
      </w:r>
      <w:r w:rsidR="00CB010A">
        <w:t xml:space="preserve">– </w:t>
      </w:r>
      <w:r w:rsidR="00D74BA5">
        <w:t>und von der Lebensart der Aschkenazim, der Juden Ost- und Ostmitteleurop</w:t>
      </w:r>
      <w:r w:rsidR="00CB010A">
        <w:t>a</w:t>
      </w:r>
      <w:r w:rsidR="00D74BA5">
        <w:t>s erzählt.</w:t>
      </w:r>
      <w:r w:rsidR="00CB010A">
        <w:t xml:space="preserve"> Dafür skizziere ich die Konstruktion von Alterität entlang der intertextuelle</w:t>
      </w:r>
      <w:r w:rsidR="001E2B76">
        <w:t>n</w:t>
      </w:r>
      <w:r w:rsidR="00CB010A">
        <w:t xml:space="preserve"> Spur von Scholem Alejchems Erzählungen über das Musical </w:t>
      </w:r>
      <w:r w:rsidR="00CB010A" w:rsidRPr="00CB010A">
        <w:rPr>
          <w:i/>
        </w:rPr>
        <w:t>Fiddler on the Roof</w:t>
      </w:r>
      <w:r w:rsidR="00CB010A">
        <w:t xml:space="preserve"> zu </w:t>
      </w:r>
      <w:r w:rsidR="00CB010A" w:rsidRPr="007D49A2">
        <w:rPr>
          <w:i/>
        </w:rPr>
        <w:t>Train de vie</w:t>
      </w:r>
      <w:r w:rsidR="00CB010A">
        <w:t>.</w:t>
      </w:r>
      <w:r w:rsidR="00DA19B7">
        <w:t xml:space="preserve"> Die herausragende Rolle jüdischen Humors darin beleuchte ich anhand einer Schlüsselszene des Films, um schließlich über das Verfahren der Parodie die Komplexität der Holocau</w:t>
      </w:r>
      <w:r w:rsidR="00AD164A">
        <w:t>s</w:t>
      </w:r>
      <w:r w:rsidR="00DA19B7">
        <w:t xml:space="preserve">t-Repräsentation in Mihaileanus Film zu zeigen. Im </w:t>
      </w:r>
      <w:r w:rsidR="00527589">
        <w:t>parodistischen</w:t>
      </w:r>
      <w:r w:rsidR="00DA19B7">
        <w:t xml:space="preserve"> Durchstreichen gelingt es </w:t>
      </w:r>
      <w:r w:rsidR="00DA19B7" w:rsidRPr="007D49A2">
        <w:rPr>
          <w:i/>
        </w:rPr>
        <w:t>Train de vie</w:t>
      </w:r>
      <w:r w:rsidR="001E2B76">
        <w:t>,</w:t>
      </w:r>
      <w:r w:rsidR="00DA19B7">
        <w:t xml:space="preserve"> die Lücken des bisherigen Diskurses aufzuzeigen und gleichzeitig im Verschwinden der Stimme zu sprechen.</w:t>
      </w:r>
    </w:p>
    <w:p w:rsidR="00442370" w:rsidRDefault="00442370" w:rsidP="00B00834">
      <w:pPr>
        <w:jc w:val="both"/>
      </w:pPr>
      <w:r w:rsidRPr="00C0395B">
        <w:rPr>
          <w:i/>
        </w:rPr>
        <w:t>Train de vie</w:t>
      </w:r>
      <w:r>
        <w:t xml:space="preserve"> orientiert sich in seiner narrativen Form am Modell der aristophanischen Komödie</w:t>
      </w:r>
      <w:r w:rsidR="00727642">
        <w:rPr>
          <w:rStyle w:val="Appelnotedebasdep"/>
        </w:rPr>
        <w:footnoteReference w:id="2"/>
      </w:r>
      <w:r>
        <w:t>. Erzählt wird die Geschichte einer Gemeinschaft, die sich in ihrer Existenz bedroht sieht: Ein Schtetl</w:t>
      </w:r>
      <w:r w:rsidR="00254D77">
        <w:rPr>
          <w:rStyle w:val="Appelnotedebasdep"/>
        </w:rPr>
        <w:footnoteReference w:id="3"/>
      </w:r>
      <w:r>
        <w:t xml:space="preserve"> wird vor der Verschleppung durch die Nazis gewarnt. In den Beratungen</w:t>
      </w:r>
      <w:r w:rsidR="00EA7C5E">
        <w:t xml:space="preserve"> de</w:t>
      </w:r>
      <w:r w:rsidR="00302E83">
        <w:t xml:space="preserve">s </w:t>
      </w:r>
      <w:r w:rsidR="00254D77" w:rsidRPr="00254D77">
        <w:rPr>
          <w:i/>
        </w:rPr>
        <w:t>kahal</w:t>
      </w:r>
      <w:r w:rsidR="00EA7C5E">
        <w:t xml:space="preserve"> setzt sich die verrückte Idee des Narren Schlomo durch: </w:t>
      </w:r>
      <w:r w:rsidR="00597E1D">
        <w:t>Das jüdische Dorf imitiert einen deutschen Deportationszug; einige der Männer verkleiden sich als SS und so versucht man</w:t>
      </w:r>
      <w:r w:rsidR="00BC5F6A">
        <w:t>,</w:t>
      </w:r>
      <w:r w:rsidR="00597E1D">
        <w:t xml:space="preserve"> nach Palästina</w:t>
      </w:r>
      <w:r w:rsidR="00BC5F6A">
        <w:t xml:space="preserve"> zu entkommen</w:t>
      </w:r>
      <w:r w:rsidR="00597E1D">
        <w:t xml:space="preserve">. </w:t>
      </w:r>
      <w:r w:rsidR="00EA7C5E">
        <w:t>Der Film erzählt die Episoden der Flucht.</w:t>
      </w:r>
    </w:p>
    <w:p w:rsidR="00B00834" w:rsidRDefault="00E304B3" w:rsidP="00B00834">
      <w:pPr>
        <w:jc w:val="both"/>
      </w:pPr>
      <w:r>
        <w:t xml:space="preserve">Dabei verflechten sich die </w:t>
      </w:r>
      <w:r w:rsidR="00005109">
        <w:t>Abenteuer</w:t>
      </w:r>
      <w:r>
        <w:t xml:space="preserve"> der Einzelnen mit der Geschichte der Gemeinschaft. Die Erlebnisse der schönen Esther mit ihren Verehrern, der Ärger des Rabbi über seinen kommunistischen </w:t>
      </w:r>
      <w:r w:rsidR="00005109">
        <w:t>Knecht</w:t>
      </w:r>
      <w:r w:rsidR="005B6079">
        <w:t xml:space="preserve"> Yossi</w:t>
      </w:r>
      <w:r w:rsidR="00207853">
        <w:rPr>
          <w:rStyle w:val="Appelnotedebasdep"/>
        </w:rPr>
        <w:footnoteReference w:id="4"/>
      </w:r>
      <w:r w:rsidR="00C72BE3">
        <w:t xml:space="preserve"> oder die Probleme des Holzhändlers Mordechai mit seiner Rolle als Kommandant des Zuges sind untereinander verquickt, beispielhaft im Ärger von Esthers Vater über deren Affäre mit dem kommunistischen Sohn des Holzhändlers, der als Nazi und Kommunist gleich doppelt nicht als Schwiegersohn in Frage kommt.</w:t>
      </w:r>
      <w:r w:rsidR="002A2C1E">
        <w:t xml:space="preserve"> (Vgl. 41:39–42:40)</w:t>
      </w:r>
      <w:r w:rsidR="00FE3361">
        <w:t xml:space="preserve"> Sie sind aber auch in die Abenteuer der Flucht integriert, die das ganze Schtetl betreffen. So führt z.B. eine kommunistische Revolte mit Flucht aus dem Zug zur </w:t>
      </w:r>
      <w:r w:rsidR="00005109">
        <w:t>dramatis</w:t>
      </w:r>
      <w:r w:rsidR="00FE3361">
        <w:t>chsten Konfrontation der Juden mit den echten Nazis.</w:t>
      </w:r>
      <w:r w:rsidR="00B00834">
        <w:t xml:space="preserve"> </w:t>
      </w:r>
    </w:p>
    <w:p w:rsidR="00E304B3" w:rsidRDefault="00B00834" w:rsidP="00B00834">
      <w:pPr>
        <w:jc w:val="both"/>
      </w:pPr>
      <w:r>
        <w:t>Auch auf narratologisch</w:t>
      </w:r>
      <w:r w:rsidR="00BE2651">
        <w:t>er Ebene manifestiert sich die</w:t>
      </w:r>
      <w:r>
        <w:t xml:space="preserve"> Einheit</w:t>
      </w:r>
      <w:r w:rsidR="00BE2651">
        <w:t xml:space="preserve"> des Schtetls</w:t>
      </w:r>
      <w:r>
        <w:t xml:space="preserve"> in der Vielheit</w:t>
      </w:r>
      <w:r w:rsidR="00BE2651">
        <w:t>, seine Alterität äußert sich in Pluralität</w:t>
      </w:r>
      <w:r>
        <w:t>. Als homodiegetischer Erzähler berichtet der Narr von den Fährnissen der Juden. Dabei schiebt er in die chronologische Erzählung der Flucht immer wieder die zwischenmenschlichen Episoden</w:t>
      </w:r>
      <w:r w:rsidR="00005109">
        <w:t xml:space="preserve"> ein</w:t>
      </w:r>
      <w:r>
        <w:t xml:space="preserve">, sodass z.B. die Geschichte der schönen Esther insgesamt sechs Mal aufgegriffen und </w:t>
      </w:r>
      <w:r w:rsidR="00225B4F">
        <w:t>bis in den</w:t>
      </w:r>
      <w:r>
        <w:t xml:space="preserve"> Epilog fortgeschrieben wird. Zusätzlich lässt die Vermittlung der Geschehnisse </w:t>
      </w:r>
      <w:r w:rsidR="00225B4F">
        <w:t>reichlich</w:t>
      </w:r>
      <w:r>
        <w:t xml:space="preserve"> Platz für humoristische Einlagen</w:t>
      </w:r>
      <w:r w:rsidR="00260ED0">
        <w:t xml:space="preserve">, </w:t>
      </w:r>
      <w:r w:rsidR="00260ED0">
        <w:lastRenderedPageBreak/>
        <w:t>die oft auf Eigenschaften einzelner Ch</w:t>
      </w:r>
      <w:r w:rsidR="00136E1A">
        <w:t>a</w:t>
      </w:r>
      <w:r w:rsidR="00260ED0">
        <w:t>raktere beruhen</w:t>
      </w:r>
      <w:r w:rsidR="00C67E24">
        <w:t xml:space="preserve"> und zum Teil auch Serien bilden</w:t>
      </w:r>
      <w:r w:rsidR="00260ED0">
        <w:t xml:space="preserve">, </w:t>
      </w:r>
      <w:r w:rsidR="00942B21">
        <w:t>beispielsweise</w:t>
      </w:r>
      <w:r w:rsidR="00260ED0">
        <w:t xml:space="preserve"> </w:t>
      </w:r>
      <w:r w:rsidR="00225B4F">
        <w:t xml:space="preserve">die Gags, die </w:t>
      </w:r>
      <w:r w:rsidR="00942B21">
        <w:t>den</w:t>
      </w:r>
      <w:r w:rsidR="00260ED0">
        <w:t xml:space="preserve"> Geiz des Buchhalters</w:t>
      </w:r>
      <w:r w:rsidR="00942B21">
        <w:t xml:space="preserve"> thematisieren</w:t>
      </w:r>
      <w:r w:rsidR="00260ED0">
        <w:t>. (</w:t>
      </w:r>
      <w:r w:rsidR="007E6B02">
        <w:t xml:space="preserve">17:32; 26:21; </w:t>
      </w:r>
      <w:r w:rsidR="00160BF9">
        <w:t>28:02</w:t>
      </w:r>
      <w:r w:rsidR="00260ED0">
        <w:t>)</w:t>
      </w:r>
      <w:r w:rsidR="007059DC">
        <w:t xml:space="preserve"> Die Episoden und die komischen Serien unterbrechen dabei zwar zum einen die konsequente Handlungsführung, zum anderen klammern sie aber auch das Schtetl und die Geschichte zusammen. Sie wirken wie die Schwellen, auf dene</w:t>
      </w:r>
      <w:r w:rsidR="007E6B02">
        <w:t>n die Gleise der kontinuierlich fortschreitenden</w:t>
      </w:r>
      <w:r w:rsidR="007059DC">
        <w:t xml:space="preserve"> Komödie verlegt sind.</w:t>
      </w:r>
      <w:r w:rsidR="00C424BB">
        <w:t xml:space="preserve"> Dass nicht die Geschichte Einzelner erzählt wird oder gar die eines Anti-Helden Schlomo</w:t>
      </w:r>
      <w:r w:rsidR="007E6B02">
        <w:t>,</w:t>
      </w:r>
      <w:r w:rsidR="00C424BB">
        <w:t xml:space="preserve"> macht </w:t>
      </w:r>
      <w:r w:rsidR="007E6B02">
        <w:t>der Narr</w:t>
      </w:r>
      <w:r w:rsidR="00C424BB">
        <w:t xml:space="preserve"> nochmals in seinen Schlussworten deutlich: „</w:t>
      </w:r>
      <w:r w:rsidR="008376DA">
        <w:t>Voilà, c</w:t>
      </w:r>
      <w:r w:rsidR="008376DA" w:rsidRPr="008376DA">
        <w:t xml:space="preserve">’est </w:t>
      </w:r>
      <w:r w:rsidR="008376DA">
        <w:t>ç</w:t>
      </w:r>
      <w:r w:rsidR="008376DA" w:rsidRPr="008376DA">
        <w:t>a</w:t>
      </w:r>
      <w:r w:rsidR="00C424BB" w:rsidRPr="008376DA">
        <w:t>, la vraie histoire de mon stetl</w:t>
      </w:r>
      <w:r w:rsidR="00C424BB">
        <w:t>.“ (</w:t>
      </w:r>
      <w:r w:rsidR="008376DA">
        <w:t>1:34:03</w:t>
      </w:r>
      <w:r w:rsidR="00C424BB">
        <w:t>)</w:t>
      </w:r>
    </w:p>
    <w:p w:rsidR="00CF00BE" w:rsidRDefault="00942B21" w:rsidP="00B00834">
      <w:pPr>
        <w:jc w:val="both"/>
      </w:pPr>
      <w:r>
        <w:t>Dies</w:t>
      </w:r>
      <w:r w:rsidR="00315158">
        <w:t>e</w:t>
      </w:r>
      <w:r>
        <w:t xml:space="preserve"> Pluralität manifestiert sich ebenfalls</w:t>
      </w:r>
      <w:r w:rsidR="00CF00BE">
        <w:t xml:space="preserve"> auf der </w:t>
      </w:r>
      <w:r w:rsidR="00160BF9">
        <w:t>rhetorischen</w:t>
      </w:r>
      <w:r w:rsidR="00CF00BE">
        <w:t xml:space="preserve"> Ebene. </w:t>
      </w:r>
      <w:r w:rsidR="00471867">
        <w:t xml:space="preserve">Bis auf die Rahmenerzählung, die von einem einsamen Schlomo handelt, gibt es keine Szene, </w:t>
      </w:r>
      <w:r w:rsidR="00160BF9">
        <w:t>die auf eine Einzelperson konzentriert wäre</w:t>
      </w:r>
      <w:r w:rsidR="00471867">
        <w:t>: Immer sind mehrer</w:t>
      </w:r>
      <w:r w:rsidR="000507D5">
        <w:t>e</w:t>
      </w:r>
      <w:r w:rsidR="00471867">
        <w:t xml:space="preserve">, meist viele involviert. Auch die </w:t>
      </w:r>
      <w:r w:rsidR="00471867" w:rsidRPr="00315158">
        <w:rPr>
          <w:i/>
        </w:rPr>
        <w:t>mise-en-scène</w:t>
      </w:r>
      <w:r w:rsidR="00471867">
        <w:t xml:space="preserve"> betont das: </w:t>
      </w:r>
      <w:r w:rsidR="00160BF9">
        <w:t>Der Bildschi</w:t>
      </w:r>
      <w:r w:rsidR="00060F40">
        <w:t>r</w:t>
      </w:r>
      <w:r w:rsidR="00160BF9">
        <w:t xml:space="preserve">m ist meist bevölkert mit Menschen, </w:t>
      </w:r>
      <w:r w:rsidR="00471867">
        <w:t xml:space="preserve">die sich noch dazu lebhaft </w:t>
      </w:r>
      <w:r w:rsidR="0043660C">
        <w:t xml:space="preserve">in unterschiedlichste Richtungen </w:t>
      </w:r>
      <w:r w:rsidR="00471867">
        <w:t xml:space="preserve">bewegen. Dieses </w:t>
      </w:r>
      <w:r w:rsidR="0043660C">
        <w:t>wilde Durcheinander hört man auch</w:t>
      </w:r>
      <w:r w:rsidR="00471867">
        <w:t>. Die Szene</w:t>
      </w:r>
      <w:r w:rsidR="0043660C">
        <w:t>n</w:t>
      </w:r>
      <w:r w:rsidR="00471867">
        <w:t xml:space="preserve"> werden meist von einem </w:t>
      </w:r>
      <w:r w:rsidR="00315158">
        <w:t>dichten</w:t>
      </w:r>
      <w:r w:rsidR="00471867">
        <w:t xml:space="preserve"> Geräuschteppich und oft auch Klezmer</w:t>
      </w:r>
      <w:r w:rsidR="00A40E44">
        <w:t>-</w:t>
      </w:r>
      <w:r w:rsidR="00471867">
        <w:t>Musik untermalt. Zudem werden Schnitte zwischen Szenen oft mittels</w:t>
      </w:r>
      <w:r w:rsidR="001F5456">
        <w:t xml:space="preserve"> einer </w:t>
      </w:r>
      <w:r w:rsidR="00753034">
        <w:t>akustischen Klammer</w:t>
      </w:r>
      <w:r w:rsidR="001F5456">
        <w:t xml:space="preserve"> abgeschwächt</w:t>
      </w:r>
      <w:r w:rsidR="00211130">
        <w:t>:</w:t>
      </w:r>
      <w:r w:rsidR="00753034">
        <w:t xml:space="preserve"> In </w:t>
      </w:r>
      <w:r w:rsidR="00753034" w:rsidRPr="007D49A2">
        <w:rPr>
          <w:i/>
        </w:rPr>
        <w:t>Train de vie</w:t>
      </w:r>
      <w:r w:rsidR="00753034">
        <w:t xml:space="preserve"> fließt </w:t>
      </w:r>
      <w:r w:rsidR="00211130">
        <w:t xml:space="preserve">dabei </w:t>
      </w:r>
      <w:r w:rsidR="00753034">
        <w:t>der Ton (meist Musik) aus der Szene vor dem Schnitt in die Folgeszene</w:t>
      </w:r>
      <w:r w:rsidR="001F5456">
        <w:t>, was die Einheit der filmischen Erzählung verstär</w:t>
      </w:r>
      <w:r w:rsidR="001D198F">
        <w:t>k</w:t>
      </w:r>
      <w:r w:rsidR="001F5456">
        <w:t xml:space="preserve">t, </w:t>
      </w:r>
      <w:r w:rsidR="00040FFE">
        <w:t xml:space="preserve">sie vorantreibt, </w:t>
      </w:r>
      <w:r w:rsidR="001F5456">
        <w:t>sie aber auch weniger geordnet erscheinen lässt.</w:t>
      </w:r>
    </w:p>
    <w:p w:rsidR="00442370" w:rsidRDefault="009D520A" w:rsidP="00B00834">
      <w:pPr>
        <w:jc w:val="both"/>
      </w:pPr>
      <w:r>
        <w:t xml:space="preserve">Exemplarisch </w:t>
      </w:r>
      <w:r w:rsidR="00315158">
        <w:t>untersuchen lässt sich</w:t>
      </w:r>
      <w:r w:rsidR="005B6079">
        <w:t xml:space="preserve"> diese</w:t>
      </w:r>
      <w:r w:rsidR="0028628B">
        <w:t>s</w:t>
      </w:r>
      <w:r w:rsidR="005B6079">
        <w:t xml:space="preserve"> Verfahren, die Gemeinschaft in den Vordergrund zu stellen, </w:t>
      </w:r>
      <w:r w:rsidR="00315158">
        <w:t>a</w:t>
      </w:r>
      <w:r w:rsidR="005B6079">
        <w:t>n</w:t>
      </w:r>
      <w:r>
        <w:t xml:space="preserve"> folgender Szene </w:t>
      </w:r>
      <w:r w:rsidR="005B6079">
        <w:t>aus den Vorbereitungen zur Flucht</w:t>
      </w:r>
      <w:r w:rsidR="0028628B">
        <w:t xml:space="preserve">; </w:t>
      </w:r>
      <w:r w:rsidR="005128EE">
        <w:t>die</w:t>
      </w:r>
      <w:r w:rsidR="0028628B">
        <w:t xml:space="preserve"> Konzert-Szene</w:t>
      </w:r>
      <w:r w:rsidR="00203B6F">
        <w:t xml:space="preserve"> (11:38</w:t>
      </w:r>
      <w:r w:rsidR="00D620EF">
        <w:t>–ca. 13:24</w:t>
      </w:r>
      <w:r w:rsidR="00D620EF">
        <w:rPr>
          <w:rStyle w:val="Appelnotedebasdep"/>
        </w:rPr>
        <w:footnoteReference w:id="5"/>
      </w:r>
      <w:r w:rsidR="00203B6F">
        <w:t>)</w:t>
      </w:r>
      <w:r w:rsidR="005128EE">
        <w:t xml:space="preserve"> zeugt n</w:t>
      </w:r>
      <w:r>
        <w:t xml:space="preserve">eben den rhetorischen Mitteln, </w:t>
      </w:r>
      <w:r w:rsidR="005128EE">
        <w:t xml:space="preserve">die eingesetzt werden, </w:t>
      </w:r>
      <w:r>
        <w:t>um die Gemeinschaft zu konstruieren, auch davon, wie die vermeintliche Alterität der osteuropäi</w:t>
      </w:r>
      <w:r w:rsidR="00A94F8A">
        <w:t>s</w:t>
      </w:r>
      <w:r>
        <w:t xml:space="preserve">chen Juden inhaltlich </w:t>
      </w:r>
      <w:r w:rsidR="005B6079">
        <w:t>gefüllt</w:t>
      </w:r>
      <w:r>
        <w:t xml:space="preserve"> wird</w:t>
      </w:r>
      <w:r w:rsidR="00040FFE">
        <w:t xml:space="preserve">, wie ihre Lebensart, ihr </w:t>
      </w:r>
      <w:r w:rsidR="00040FFE" w:rsidRPr="00040FFE">
        <w:rPr>
          <w:i/>
        </w:rPr>
        <w:t>train de vie</w:t>
      </w:r>
      <w:r w:rsidR="00040FFE">
        <w:t xml:space="preserve"> (re-)konstruiert wird</w:t>
      </w:r>
      <w:r>
        <w:t>.</w:t>
      </w:r>
      <w:r w:rsidR="00574384">
        <w:t xml:space="preserve"> </w:t>
      </w:r>
      <w:r w:rsidR="00B346C7">
        <w:t xml:space="preserve">Kernstück der Sequenz bildet ein Konzert auf dem Dorfplatz. Fünf Musikanten (Geige, Klarinette, Kontrabass, Trommel und ein Sänger) stimmen </w:t>
      </w:r>
      <w:r w:rsidR="00D82A66">
        <w:t>d</w:t>
      </w:r>
      <w:r w:rsidR="005128EE">
        <w:t>as traditionelle</w:t>
      </w:r>
      <w:r w:rsidR="00D82A66">
        <w:t xml:space="preserve"> Klezmer-Stücks </w:t>
      </w:r>
      <w:r w:rsidR="00882C36">
        <w:t>„Yoshke, Yoshke“</w:t>
      </w:r>
      <w:r w:rsidR="00D82A66">
        <w:rPr>
          <w:rStyle w:val="Appelnotedebasdep"/>
        </w:rPr>
        <w:footnoteReference w:id="6"/>
      </w:r>
      <w:r w:rsidR="00882C36">
        <w:t xml:space="preserve"> an</w:t>
      </w:r>
      <w:r w:rsidR="00D82A66">
        <w:t>,</w:t>
      </w:r>
      <w:r w:rsidR="00882C36">
        <w:t xml:space="preserve"> und der Dorfnarr Schlomo tanzt dazu, während die </w:t>
      </w:r>
      <w:r w:rsidR="00D82A66">
        <w:t>übrigen</w:t>
      </w:r>
      <w:r w:rsidR="00882C36">
        <w:t xml:space="preserve"> Bewohner mit Vorbereitungen für die Flucht beschäftigt sind: Holz wird gemacht, Näharbeiten werden verrichtet, </w:t>
      </w:r>
      <w:r w:rsidR="000142E9">
        <w:t>Gegenstände durchs Dorf getragen, Uniformen geschneidert, Schuhe gefertigt</w:t>
      </w:r>
      <w:r w:rsidR="003B66FE">
        <w:t xml:space="preserve"> und Fleisch ge</w:t>
      </w:r>
      <w:r w:rsidR="002F2E6C">
        <w:t>handel</w:t>
      </w:r>
      <w:r w:rsidR="003B66FE">
        <w:t>t.</w:t>
      </w:r>
      <w:r w:rsidR="00E507A7">
        <w:t xml:space="preserve"> Dabei werden Szenen</w:t>
      </w:r>
      <w:r w:rsidR="005128EE">
        <w:t>, die</w:t>
      </w:r>
      <w:r w:rsidR="00E507A7">
        <w:t xml:space="preserve"> Arbeiten in den Innenhöfen, Ateliers und Geschäften</w:t>
      </w:r>
      <w:r w:rsidR="005128EE">
        <w:t xml:space="preserve"> zeigen,</w:t>
      </w:r>
      <w:r w:rsidR="00E507A7">
        <w:t xml:space="preserve"> gegengeschnitten </w:t>
      </w:r>
      <w:r w:rsidR="005128EE">
        <w:t>mit</w:t>
      </w:r>
      <w:r w:rsidR="00E507A7">
        <w:t xml:space="preserve"> den Musikanten auf dem Platz.</w:t>
      </w:r>
      <w:r w:rsidR="008974E6">
        <w:t xml:space="preserve"> </w:t>
      </w:r>
      <w:r w:rsidR="002F2E6C">
        <w:t>Auf dem Band der Melodie reihen sich die Tätigkeiten</w:t>
      </w:r>
      <w:r w:rsidR="008974E6">
        <w:t>. Aufgrund des Szenenwechsel</w:t>
      </w:r>
      <w:r w:rsidR="00FC10C0">
        <w:t>s</w:t>
      </w:r>
      <w:r w:rsidR="008974E6">
        <w:t xml:space="preserve"> handelt es sich jeweils um </w:t>
      </w:r>
      <w:r w:rsidR="00D91FCF">
        <w:t>on- bzw. off-</w:t>
      </w:r>
      <w:r w:rsidR="008974E6">
        <w:t>Musik</w:t>
      </w:r>
      <w:r w:rsidR="00D91FCF">
        <w:t>, dabei scheint es mir plausibel, beides als intradiegetische Klänge anzunehmen.</w:t>
      </w:r>
      <w:r w:rsidR="008974E6">
        <w:t xml:space="preserve"> </w:t>
      </w:r>
      <w:r w:rsidR="00D91FCF">
        <w:t xml:space="preserve">D.h., </w:t>
      </w:r>
      <w:r w:rsidR="00FC10C0">
        <w:t>für mich, hört</w:t>
      </w:r>
      <w:r w:rsidR="00D91FCF">
        <w:t xml:space="preserve"> man das Konzert im ganzen Dorf.</w:t>
      </w:r>
      <w:r w:rsidR="00D91FCF">
        <w:rPr>
          <w:rStyle w:val="Appelnotedebasdep"/>
        </w:rPr>
        <w:footnoteReference w:id="7"/>
      </w:r>
      <w:r w:rsidR="000A5423">
        <w:t xml:space="preserve"> </w:t>
      </w:r>
      <w:r w:rsidR="00300596">
        <w:t xml:space="preserve">Das führt dazu, dass die </w:t>
      </w:r>
      <w:r w:rsidR="00300596">
        <w:lastRenderedPageBreak/>
        <w:t xml:space="preserve">Menschen ihre Verrichtungen teils tanzend erledigen (eine Mutter tanzt mit ihrem Kind, eine Jugendliche mit ihrem Hund; Männer tragen </w:t>
      </w:r>
      <w:r w:rsidR="00034250">
        <w:t xml:space="preserve">tänzelnd </w:t>
      </w:r>
      <w:r w:rsidR="00300596">
        <w:t>Lasten</w:t>
      </w:r>
      <w:r w:rsidR="0000645E">
        <w:t>). Und wenn sie nicht tanzen, so</w:t>
      </w:r>
      <w:r w:rsidR="0086501A">
        <w:t xml:space="preserve"> </w:t>
      </w:r>
      <w:r w:rsidR="0000645E">
        <w:t xml:space="preserve">stricken, sägen und nähen sie im Takt. </w:t>
      </w:r>
      <w:r w:rsidR="008B1F91">
        <w:t>Damit nicht genug: Die Gemeinschaft hört nicht nur zu, sie musiziert mit ihren je eigenen „Instrumenten“: Schwere Schritte, Holzhacken und der Hammer des Schusters stimmen in die Trommel ein; Säge und quietschende Nähmaschine</w:t>
      </w:r>
      <w:r w:rsidR="00045D0B">
        <w:t xml:space="preserve"> zusammen mit der Schere</w:t>
      </w:r>
      <w:r w:rsidR="008B1F91">
        <w:t xml:space="preserve"> unterstützen die Geige</w:t>
      </w:r>
      <w:r w:rsidR="000E5454">
        <w:t xml:space="preserve">; selbst die Tiere stehen nicht abseits, die Katze muss tanzen, und </w:t>
      </w:r>
      <w:r w:rsidR="00045D0B">
        <w:t>Gänse und Ziegen</w:t>
      </w:r>
      <w:r w:rsidR="00AF5E71">
        <w:t xml:space="preserve"> singen.</w:t>
      </w:r>
      <w:r w:rsidR="0063624C">
        <w:t xml:space="preserve"> Das </w:t>
      </w:r>
      <w:r w:rsidR="000E5454">
        <w:t xml:space="preserve">Ganze </w:t>
      </w:r>
      <w:r w:rsidR="0063624C">
        <w:t xml:space="preserve">ist ein großes </w:t>
      </w:r>
      <w:r w:rsidR="002F2E6C">
        <w:t>polyphones</w:t>
      </w:r>
      <w:r w:rsidR="0063624C">
        <w:t xml:space="preserve"> Konzert des Schtetls und damit auch Ausdruck seiner Vitalität. Fast keine Einstellung zeigt weniger als fünf bis zehn Personen, meist sind es deutlich mehr und alle sind in Bewegung in alle denkbaren Richtungen: in die Tiefe, quer zu Kamera, schräg oder auch im Kre</w:t>
      </w:r>
      <w:r w:rsidR="003E32DF">
        <w:t>i</w:t>
      </w:r>
      <w:r w:rsidR="0063624C">
        <w:t>s.</w:t>
      </w:r>
    </w:p>
    <w:p w:rsidR="00EC7112" w:rsidRDefault="002C1601" w:rsidP="00B00834">
      <w:pPr>
        <w:jc w:val="both"/>
      </w:pPr>
      <w:r>
        <w:t>Man könnte meine</w:t>
      </w:r>
      <w:r w:rsidR="00834F47">
        <w:t>n</w:t>
      </w:r>
      <w:r>
        <w:t xml:space="preserve">, die Juden </w:t>
      </w:r>
      <w:r w:rsidR="000510D9">
        <w:t>wären</w:t>
      </w:r>
      <w:r>
        <w:t xml:space="preserve"> betrübt, ihre Hei</w:t>
      </w:r>
      <w:r w:rsidR="00834F47">
        <w:t>mat verlassen zu müssen, oder starr</w:t>
      </w:r>
      <w:r>
        <w:t xml:space="preserve"> vor An</w:t>
      </w:r>
      <w:r w:rsidR="000510D9">
        <w:t xml:space="preserve">gst: </w:t>
      </w:r>
      <w:r w:rsidR="00834F47">
        <w:t>a</w:t>
      </w:r>
      <w:r w:rsidR="000510D9">
        <w:t>ber keine Spur davon i</w:t>
      </w:r>
      <w:r>
        <w:t>m Fest des Aufbruchs.</w:t>
      </w:r>
      <w:r w:rsidR="00F71D47">
        <w:t xml:space="preserve"> Damit trifft diese Szene auch den Ton des gesamten Films.</w:t>
      </w:r>
      <w:r w:rsidR="00037730">
        <w:t xml:space="preserve"> Was hier zelebriert wird, ist die</w:t>
      </w:r>
      <w:r w:rsidR="00C11BAD">
        <w:t xml:space="preserve"> Lebensart der </w:t>
      </w:r>
      <w:r w:rsidR="00615A63">
        <w:t xml:space="preserve">osteuropäischen </w:t>
      </w:r>
      <w:r w:rsidR="00C11BAD">
        <w:t>Juden. Sie sind zwar arm, leben aber glücklich trotz widriger Umstände in ihrer Gemeinschaft</w:t>
      </w:r>
      <w:r w:rsidR="0000034F">
        <w:t xml:space="preserve">. Ihre Kultur scheint dabei nicht so sehr von der Religion als von ihrer Musikalität und ihrer guten Laune geprägt. </w:t>
      </w:r>
      <w:r w:rsidR="00833DEE">
        <w:t xml:space="preserve">Dieses Klischee verliert sich nicht trotz der drohenden Vernichtung und es wird auch in </w:t>
      </w:r>
      <w:r w:rsidR="00833DEE" w:rsidRPr="007D49A2">
        <w:rPr>
          <w:i/>
        </w:rPr>
        <w:t>Train de vie</w:t>
      </w:r>
      <w:r w:rsidR="00833DEE">
        <w:t xml:space="preserve"> nicht erfunden. Vielmehr kann Mihailea</w:t>
      </w:r>
      <w:r w:rsidR="00A92B1C">
        <w:t>n</w:t>
      </w:r>
      <w:r w:rsidR="00833DEE">
        <w:t>u sich aus einem reichen Schatz verklärender Darstellungen des Schtetl-Lebens bedienen.</w:t>
      </w:r>
      <w:r w:rsidR="006801BB">
        <w:rPr>
          <w:rStyle w:val="Appelnotedebasdep"/>
        </w:rPr>
        <w:footnoteReference w:id="8"/>
      </w:r>
      <w:r w:rsidR="00833DEE">
        <w:t xml:space="preserve"> </w:t>
      </w:r>
    </w:p>
    <w:p w:rsidR="00D13EEF" w:rsidRDefault="003C7A31" w:rsidP="00B00834">
      <w:pPr>
        <w:jc w:val="both"/>
      </w:pPr>
      <w:r>
        <w:t>Der au</w:t>
      </w:r>
      <w:r w:rsidR="00834F47">
        <w:t>genf</w:t>
      </w:r>
      <w:r>
        <w:t xml:space="preserve">älligste intertextuelle Bezug besteht zum (Film-)Musical </w:t>
      </w:r>
      <w:r w:rsidR="005C13FC">
        <w:rPr>
          <w:i/>
        </w:rPr>
        <w:t>Fiddler on the Roof</w:t>
      </w:r>
      <w:r>
        <w:t>.</w:t>
      </w:r>
      <w:r w:rsidR="00EC7112">
        <w:rPr>
          <w:rStyle w:val="Appelnotedebasdep"/>
        </w:rPr>
        <w:footnoteReference w:id="9"/>
      </w:r>
      <w:r w:rsidR="00C125F8">
        <w:t xml:space="preserve"> Die Konzert-Szene erinnert stark an den Beginn des US-</w:t>
      </w:r>
      <w:r w:rsidR="00690967">
        <w:t>Film</w:t>
      </w:r>
      <w:r w:rsidR="00C125F8">
        <w:t>s, besonders an das Stück „Tradition</w:t>
      </w:r>
      <w:r w:rsidR="00EC7112">
        <w:t>.</w:t>
      </w:r>
      <w:r w:rsidR="00C125F8">
        <w:t>“</w:t>
      </w:r>
      <w:r w:rsidR="00EC7112">
        <w:t xml:space="preserve"> </w:t>
      </w:r>
      <w:r w:rsidR="00615A63">
        <w:t>Darin stellt der Milchmann Tev</w:t>
      </w:r>
      <w:r w:rsidR="00CA1059">
        <w:t>y</w:t>
      </w:r>
      <w:r w:rsidR="00615A63">
        <w:t>e</w:t>
      </w:r>
      <w:r w:rsidR="00CA23E0">
        <w:rPr>
          <w:rStyle w:val="Appelnotedebasdep"/>
        </w:rPr>
        <w:footnoteReference w:id="10"/>
      </w:r>
      <w:r w:rsidR="00615A63">
        <w:t xml:space="preserve"> den Ort und seine Bewohner vor. </w:t>
      </w:r>
      <w:r w:rsidR="0086501A">
        <w:t>Unterstützt wird er dabei von den extradiegetischen Chören der Männer, Frauen bzw. Kinder (besonders</w:t>
      </w:r>
      <w:r w:rsidR="008B0AA9">
        <w:t xml:space="preserve"> 4</w:t>
      </w:r>
      <w:r w:rsidR="00834F47">
        <w:t>:</w:t>
      </w:r>
      <w:r w:rsidR="008B0AA9">
        <w:t>53–6:36</w:t>
      </w:r>
      <w:r w:rsidR="0086501A">
        <w:t xml:space="preserve">). Schon hier sieht man Gerber, Tischler, </w:t>
      </w:r>
      <w:r w:rsidR="000E030F">
        <w:t xml:space="preserve">Schlachter, </w:t>
      </w:r>
      <w:r w:rsidR="0086501A">
        <w:t xml:space="preserve">Schneider und </w:t>
      </w:r>
      <w:r w:rsidR="000E030F">
        <w:t xml:space="preserve">Schmied bei der Arbeit im Takt. Selbst einige Details kann man wiedererkennen: die </w:t>
      </w:r>
      <w:r w:rsidR="00C20192">
        <w:t xml:space="preserve">ausholenden </w:t>
      </w:r>
      <w:r w:rsidR="000E030F">
        <w:t>Nähbewegungen, das Papier des Schlachters ode</w:t>
      </w:r>
      <w:r w:rsidR="000E1FEE">
        <w:t>r der Hammer des Schmieds, dess</w:t>
      </w:r>
      <w:r w:rsidR="000E030F">
        <w:t xml:space="preserve">en </w:t>
      </w:r>
      <w:r w:rsidR="000E1FEE">
        <w:t>Schlag</w:t>
      </w:r>
      <w:r w:rsidR="000E030F">
        <w:t xml:space="preserve"> auch schon im Musical Teil der Musik ist.</w:t>
      </w:r>
      <w:r w:rsidR="00C20192">
        <w:t xml:space="preserve"> </w:t>
      </w:r>
      <w:r w:rsidR="000F5F43">
        <w:t xml:space="preserve">Im Unterschied zu </w:t>
      </w:r>
      <w:r w:rsidR="000F5F43" w:rsidRPr="007D49A2">
        <w:rPr>
          <w:i/>
        </w:rPr>
        <w:t>Train de vie</w:t>
      </w:r>
      <w:r w:rsidR="000F5F43">
        <w:t xml:space="preserve"> werden hier die Handwerker nicht um die Musiker herum inszeniert</w:t>
      </w:r>
      <w:r w:rsidR="00834F47">
        <w:t>,</w:t>
      </w:r>
      <w:r w:rsidR="000F5F43">
        <w:t xml:space="preserve"> und dadurch, dass die Chöre nicht Teil der dargestellten Welt sind, wird das gemei</w:t>
      </w:r>
      <w:r w:rsidR="00EC5723">
        <w:t xml:space="preserve">nsame Musizieren nicht so </w:t>
      </w:r>
      <w:r w:rsidR="007E4F07">
        <w:t>nach</w:t>
      </w:r>
      <w:r w:rsidR="00EC5723">
        <w:t xml:space="preserve">drücklich inszeniert. </w:t>
      </w:r>
      <w:r w:rsidR="00AD3F25" w:rsidRPr="007D49A2">
        <w:rPr>
          <w:i/>
        </w:rPr>
        <w:t>Train de vie</w:t>
      </w:r>
      <w:r w:rsidR="00AD3F25">
        <w:t xml:space="preserve"> </w:t>
      </w:r>
      <w:r w:rsidR="007E4F07">
        <w:t>verschieb</w:t>
      </w:r>
      <w:r w:rsidR="00834F47">
        <w:t>t</w:t>
      </w:r>
      <w:r w:rsidR="007E4F07">
        <w:t xml:space="preserve"> den Schwerpunkt des Erzählens</w:t>
      </w:r>
      <w:r w:rsidR="00834F47">
        <w:t>.</w:t>
      </w:r>
      <w:r w:rsidR="007E4F07">
        <w:t xml:space="preserve"> In </w:t>
      </w:r>
      <w:r w:rsidR="007E4F07" w:rsidRPr="007E4F07">
        <w:rPr>
          <w:i/>
        </w:rPr>
        <w:t>Fiddler on the Roof</w:t>
      </w:r>
      <w:r w:rsidR="007E4F07">
        <w:t xml:space="preserve"> dominiert </w:t>
      </w:r>
      <w:r w:rsidR="00CA1059">
        <w:t xml:space="preserve">Tevye als </w:t>
      </w:r>
      <w:r w:rsidR="007E4F07">
        <w:t xml:space="preserve">allzeit präsenter homo- bis autodiegetischer Erzähler; in Mihaileanus Film spielt Schlomo als Erzähler eine kleinere Rolle; </w:t>
      </w:r>
      <w:r w:rsidR="00CA1059">
        <w:t xml:space="preserve">er setzt den Rahmen, darin </w:t>
      </w:r>
      <w:r w:rsidR="007E4F07">
        <w:t xml:space="preserve">erzählt </w:t>
      </w:r>
      <w:r w:rsidR="00CA1059">
        <w:t xml:space="preserve">eher </w:t>
      </w:r>
      <w:r w:rsidR="007E4F07">
        <w:t>das Schtetl als solches.</w:t>
      </w:r>
      <w:r w:rsidR="00AD3F25">
        <w:t xml:space="preserve"> Auch das zentrale Problem ist </w:t>
      </w:r>
      <w:r w:rsidR="0098766E">
        <w:t xml:space="preserve">bei Mihaileanu </w:t>
      </w:r>
      <w:r w:rsidR="00AD3F25">
        <w:t>ein gemeinschaftliches</w:t>
      </w:r>
      <w:r w:rsidR="00834F47">
        <w:t>.</w:t>
      </w:r>
      <w:r w:rsidR="00AD3F25">
        <w:t xml:space="preserve"> </w:t>
      </w:r>
      <w:r w:rsidR="00834F47">
        <w:t xml:space="preserve">Während </w:t>
      </w:r>
      <w:r w:rsidR="00AD3F25">
        <w:t xml:space="preserve">es in </w:t>
      </w:r>
      <w:r w:rsidR="00AD3F25" w:rsidRPr="00834F47">
        <w:rPr>
          <w:i/>
        </w:rPr>
        <w:t>Anatevka</w:t>
      </w:r>
      <w:r w:rsidR="00AD3F25">
        <w:t xml:space="preserve"> um Tevyes Probleme mit der Verheiratung seiner Töchter geht und also nur </w:t>
      </w:r>
      <w:r w:rsidR="007E4F07">
        <w:t xml:space="preserve">mittelbar </w:t>
      </w:r>
      <w:r w:rsidR="00AD3F25">
        <w:t xml:space="preserve">um den Verlust </w:t>
      </w:r>
      <w:r w:rsidR="00834F47">
        <w:t>von</w:t>
      </w:r>
      <w:r w:rsidR="00AD3F25">
        <w:t xml:space="preserve"> Tradition und soz</w:t>
      </w:r>
      <w:r w:rsidR="007E4F07">
        <w:t>i</w:t>
      </w:r>
      <w:r w:rsidR="00AD3F25">
        <w:t>ale</w:t>
      </w:r>
      <w:r w:rsidR="00834F47">
        <w:t>r</w:t>
      </w:r>
      <w:r w:rsidR="00AD3F25">
        <w:t xml:space="preserve"> Si</w:t>
      </w:r>
      <w:r w:rsidR="000D4D18">
        <w:t xml:space="preserve">cherheit angesichts der Moderne, handelt </w:t>
      </w:r>
      <w:r w:rsidR="000D4D18" w:rsidRPr="007D49A2">
        <w:rPr>
          <w:i/>
        </w:rPr>
        <w:t>Train de vie</w:t>
      </w:r>
      <w:r w:rsidR="000D4D18">
        <w:t xml:space="preserve"> von der Konfrontation mit</w:t>
      </w:r>
      <w:r w:rsidR="00696D61">
        <w:t xml:space="preserve"> der industrialisierten Massenvernichtung der Sho’ah, die eine entfaltete Moderne voraussetzt</w:t>
      </w:r>
      <w:r w:rsidR="000061BF">
        <w:t>.</w:t>
      </w:r>
      <w:r w:rsidR="00696D61">
        <w:t xml:space="preserve"> </w:t>
      </w:r>
      <w:r w:rsidR="00EC5723">
        <w:t>Indem Mihailea</w:t>
      </w:r>
      <w:r w:rsidR="00936A44">
        <w:t>n</w:t>
      </w:r>
      <w:r w:rsidR="00EC5723">
        <w:t xml:space="preserve">u Klezmer-Musik wählt </w:t>
      </w:r>
      <w:r w:rsidR="0007657D">
        <w:t xml:space="preserve">– </w:t>
      </w:r>
      <w:r w:rsidR="00EC5723">
        <w:t>im Gegensatz zu typischen Musical-Arrangements der 60er Jahre</w:t>
      </w:r>
      <w:r w:rsidR="00EC7973">
        <w:t xml:space="preserve"> (wenn auch mit leichten Einflüssen jiddischer Musik)</w:t>
      </w:r>
      <w:r w:rsidR="0007657D">
        <w:t xml:space="preserve"> –</w:t>
      </w:r>
      <w:r w:rsidR="00EC5723">
        <w:t xml:space="preserve"> wird die Szene noch stärker im allgemeinen Bild der Kultur der Juden Osteuropas verankert.</w:t>
      </w:r>
      <w:r w:rsidR="002056AB">
        <w:t xml:space="preserve"> Das gilt zumindest für den </w:t>
      </w:r>
      <w:r w:rsidR="0007657D">
        <w:t>heutigen</w:t>
      </w:r>
      <w:r w:rsidR="002056AB">
        <w:t xml:space="preserve"> Zuschauer</w:t>
      </w:r>
      <w:r w:rsidR="00C64EA0">
        <w:t>, der angesichts des Klezmer-Booms ein stärkeres Bewusstsein für diese Musik hat</w:t>
      </w:r>
      <w:r w:rsidR="004C2A61">
        <w:t xml:space="preserve"> und somit auch leichter </w:t>
      </w:r>
      <w:r w:rsidR="00295682">
        <w:t xml:space="preserve">und schneller </w:t>
      </w:r>
      <w:r w:rsidR="004C2A61">
        <w:t>entsprechende Bilder abruft</w:t>
      </w:r>
      <w:r w:rsidR="00C64EA0">
        <w:t>.</w:t>
      </w:r>
    </w:p>
    <w:p w:rsidR="00C34AA9" w:rsidRDefault="008E1F19" w:rsidP="00084170">
      <w:pPr>
        <w:jc w:val="both"/>
      </w:pPr>
      <w:r>
        <w:lastRenderedPageBreak/>
        <w:t>Im Kern arbeiten beide Filme jedoch an der gleichen Konstr</w:t>
      </w:r>
      <w:r w:rsidR="00084170">
        <w:t>u</w:t>
      </w:r>
      <w:r>
        <w:t>ktion der zwar armen, aber fröhlichen und musikalischen Schtetl-Bewohner.</w:t>
      </w:r>
      <w:r w:rsidR="006817AB">
        <w:t xml:space="preserve"> </w:t>
      </w:r>
      <w:r w:rsidR="006817AB" w:rsidRPr="0007657D">
        <w:t xml:space="preserve">Bauer bringt die „unrealistic, saccharine nostalgia“, die seit dem Zweiten Weltkrieg die Schtetl-Repräsentation bestimmt, aus </w:t>
      </w:r>
      <w:r w:rsidR="0007657D" w:rsidRPr="0007657D">
        <w:t xml:space="preserve">der </w:t>
      </w:r>
      <w:r w:rsidR="0007657D">
        <w:t xml:space="preserve">kritischen </w:t>
      </w:r>
      <w:r w:rsidR="006817AB" w:rsidRPr="0007657D">
        <w:t>Sicht eines Historikers auf den Punkt: „In this sickeningly sweet, made-up world of Eastern Jewry, all Jews were deeply religious, naïve, and clever, and the shtetl was a place where goodness and ethical uprightness ruled despite the difficult conditions.”</w:t>
      </w:r>
      <w:r w:rsidR="006817AB">
        <w:rPr>
          <w:rStyle w:val="Appelnotedebasdep"/>
          <w:lang w:val="en-US"/>
        </w:rPr>
        <w:footnoteReference w:id="11"/>
      </w:r>
      <w:r w:rsidR="00E022BB" w:rsidRPr="0007657D">
        <w:t xml:space="preserve"> </w:t>
      </w:r>
      <w:r w:rsidR="00022B50">
        <w:t>In</w:t>
      </w:r>
      <w:r w:rsidR="00E022BB">
        <w:t xml:space="preserve"> diesem verklärten Bild der jüdischen Gemeinden Osteuropas </w:t>
      </w:r>
      <w:r w:rsidR="00022B50">
        <w:t>schwingt</w:t>
      </w:r>
      <w:r w:rsidR="00E022BB">
        <w:t xml:space="preserve"> die antisemitische Bedrohung</w:t>
      </w:r>
      <w:r w:rsidR="00022B50">
        <w:t xml:space="preserve"> mit; permanent </w:t>
      </w:r>
      <w:r w:rsidR="0007657D">
        <w:t>anwesend</w:t>
      </w:r>
      <w:r w:rsidR="00022B50">
        <w:t>, aber im</w:t>
      </w:r>
      <w:r w:rsidR="00E022BB">
        <w:t xml:space="preserve"> Hintergrund</w:t>
      </w:r>
      <w:r w:rsidR="00022B50">
        <w:t>, überlagert von</w:t>
      </w:r>
      <w:r w:rsidR="00E022BB">
        <w:t xml:space="preserve"> der Feierlaune.</w:t>
      </w:r>
      <w:r w:rsidR="00084170">
        <w:t xml:space="preserve"> Prominent gespeichert ist dieses Bild des Schtetls in den Gemälden von Marc Chagall und in den Romanen und Erzählungen </w:t>
      </w:r>
      <w:r w:rsidR="00084170" w:rsidRPr="00084170">
        <w:t>Scholem Alejchem</w:t>
      </w:r>
      <w:r w:rsidR="00734AA6">
        <w:t>s.</w:t>
      </w:r>
      <w:r w:rsidR="0007657D">
        <w:rPr>
          <w:rStyle w:val="Appelnotedebasdep"/>
        </w:rPr>
        <w:footnoteReference w:id="12"/>
      </w:r>
      <w:r w:rsidR="00734AA6">
        <w:t xml:space="preserve"> Bei Chagall begegnet man dem </w:t>
      </w:r>
      <w:r w:rsidR="000A1F2C">
        <w:t>Geiger in vielen Formen, meist in Verbindun</w:t>
      </w:r>
      <w:r w:rsidR="00637A47">
        <w:t>g mit zentralen Ereignissen im (Schtetl-)L</w:t>
      </w:r>
      <w:r w:rsidR="000A1F2C">
        <w:t>eben</w:t>
      </w:r>
      <w:r w:rsidR="00734AA6">
        <w:t>.</w:t>
      </w:r>
      <w:r w:rsidR="000A1F2C">
        <w:t xml:space="preserve"> Sein Bild „Der grüne Geiger“ (1912), das den Eindruck erweckt, ein übergroßer Fiedler mit grünem Gesicht und lila Mantel stünde au</w:t>
      </w:r>
      <w:r w:rsidR="00AA33D5">
        <w:t>f den Dächern des Dorfes, inspi</w:t>
      </w:r>
      <w:r w:rsidR="000A1F2C">
        <w:t>rierte den Titel des Anatevka-Musicals</w:t>
      </w:r>
      <w:r w:rsidR="00642BBD">
        <w:t xml:space="preserve"> und auch das expressionistische Bühnenbild </w:t>
      </w:r>
      <w:r w:rsidR="00E85FD9">
        <w:t>und die Plakate</w:t>
      </w:r>
      <w:r w:rsidR="000A13F4">
        <w:rPr>
          <w:rStyle w:val="Appelnotedebasdep"/>
        </w:rPr>
        <w:footnoteReference w:id="13"/>
      </w:r>
      <w:r w:rsidR="00E85FD9">
        <w:t xml:space="preserve"> </w:t>
      </w:r>
      <w:r w:rsidR="00642BBD">
        <w:t>der Uraufführung lehnte</w:t>
      </w:r>
      <w:r w:rsidR="00E85FD9">
        <w:t>n</w:t>
      </w:r>
      <w:r w:rsidR="00642BBD">
        <w:t xml:space="preserve"> sich an Chagalls Malstil an</w:t>
      </w:r>
      <w:r w:rsidR="000A1F2C">
        <w:t>.</w:t>
      </w:r>
      <w:r w:rsidR="0007657D">
        <w:rPr>
          <w:rStyle w:val="Appelnotedebasdep"/>
        </w:rPr>
        <w:footnoteReference w:id="14"/>
      </w:r>
      <w:r w:rsidR="000A1F2C">
        <w:t xml:space="preserve"> </w:t>
      </w:r>
      <w:r w:rsidR="00AA33D5">
        <w:t xml:space="preserve">Auch </w:t>
      </w:r>
      <w:r w:rsidR="00DF1BA8">
        <w:t>viele</w:t>
      </w:r>
      <w:r w:rsidR="007A7028">
        <w:t>n</w:t>
      </w:r>
      <w:r w:rsidR="00DF1BA8">
        <w:t xml:space="preserve"> der</w:t>
      </w:r>
      <w:r w:rsidR="00AA33D5">
        <w:t xml:space="preserve"> Typen, die die beiden oben analysierten Sequenzen bevölkern</w:t>
      </w:r>
      <w:r w:rsidR="00DF1BA8">
        <w:t>,</w:t>
      </w:r>
      <w:r w:rsidR="00AA33D5">
        <w:t xml:space="preserve"> begegnet man in Chagalls Malerei.</w:t>
      </w:r>
      <w:r w:rsidR="00E94D1A">
        <w:t xml:space="preserve"> </w:t>
      </w:r>
      <w:r w:rsidR="00DE2022">
        <w:t>Die</w:t>
      </w:r>
      <w:r w:rsidR="007A7028">
        <w:t xml:space="preserve"> </w:t>
      </w:r>
      <w:r w:rsidR="008F0349">
        <w:t>Gemälde</w:t>
      </w:r>
      <w:r w:rsidR="00DE2022">
        <w:t>,</w:t>
      </w:r>
      <w:r w:rsidR="007A7028">
        <w:t xml:space="preserve"> insbesondere </w:t>
      </w:r>
      <w:r w:rsidR="00DE2022">
        <w:t>der</w:t>
      </w:r>
      <w:r w:rsidR="007A7028">
        <w:t xml:space="preserve"> Geiger</w:t>
      </w:r>
      <w:r w:rsidR="00DE2022">
        <w:t>,</w:t>
      </w:r>
      <w:r w:rsidR="007A7028">
        <w:t xml:space="preserve"> </w:t>
      </w:r>
      <w:r w:rsidR="003C6ACC">
        <w:t>erschließen sich über die Religion</w:t>
      </w:r>
      <w:r w:rsidR="007A7028">
        <w:t xml:space="preserve">. Bei </w:t>
      </w:r>
      <w:r w:rsidR="007A7028" w:rsidRPr="00BA666C">
        <w:rPr>
          <w:i/>
        </w:rPr>
        <w:t>Fiddler on the Roof</w:t>
      </w:r>
      <w:r w:rsidR="007A7028">
        <w:t xml:space="preserve"> und </w:t>
      </w:r>
      <w:r w:rsidR="007A7028" w:rsidRPr="007D49A2">
        <w:rPr>
          <w:i/>
        </w:rPr>
        <w:t>Train de vie</w:t>
      </w:r>
      <w:r w:rsidR="007A7028">
        <w:t xml:space="preserve"> ist der jüdische Glaube</w:t>
      </w:r>
      <w:r w:rsidR="008F0349">
        <w:t xml:space="preserve"> in seinen</w:t>
      </w:r>
      <w:r w:rsidR="007A7028">
        <w:t xml:space="preserve"> Riten und Feste</w:t>
      </w:r>
      <w:r w:rsidR="008F0349">
        <w:t>n</w:t>
      </w:r>
      <w:r w:rsidR="0099400A">
        <w:t>,</w:t>
      </w:r>
      <w:r w:rsidR="007A7028">
        <w:t xml:space="preserve"> aber a</w:t>
      </w:r>
      <w:r w:rsidR="0099400A">
        <w:t>uch durch die Person des Rabbis</w:t>
      </w:r>
      <w:r w:rsidR="007A7028">
        <w:t xml:space="preserve"> zwar präsent, aber weniger wegen der Inhalte, sonder</w:t>
      </w:r>
      <w:r w:rsidR="009817DF">
        <w:t>n</w:t>
      </w:r>
      <w:r w:rsidR="007A7028">
        <w:t xml:space="preserve"> mehr als folkloristische Komplettierung des Bildes</w:t>
      </w:r>
      <w:r w:rsidR="00A44E02">
        <w:rPr>
          <w:rStyle w:val="Appelnotedebasdep"/>
        </w:rPr>
        <w:footnoteReference w:id="15"/>
      </w:r>
      <w:r w:rsidR="007A7028">
        <w:t>.</w:t>
      </w:r>
      <w:r w:rsidR="008468C4">
        <w:t xml:space="preserve"> </w:t>
      </w:r>
    </w:p>
    <w:p w:rsidR="00084170" w:rsidRPr="000D4699" w:rsidRDefault="008468C4" w:rsidP="00084170">
      <w:pPr>
        <w:jc w:val="both"/>
        <w:rPr>
          <w:i/>
        </w:rPr>
      </w:pPr>
      <w:r w:rsidRPr="007D49A2">
        <w:rPr>
          <w:i/>
        </w:rPr>
        <w:t>Train de vie</w:t>
      </w:r>
      <w:r>
        <w:t xml:space="preserve"> lässt den Geiger auf dem Dach wiedererstehen, zwar nicht im Film selbst, sondern in dessen Vermarktung, speziell auf dem </w:t>
      </w:r>
      <w:r w:rsidR="006367F6">
        <w:t>Werbep</w:t>
      </w:r>
      <w:r>
        <w:t>lakat.</w:t>
      </w:r>
      <w:r w:rsidR="00077275">
        <w:t xml:space="preserve"> Für die meisten Länder</w:t>
      </w:r>
      <w:r w:rsidR="00077275">
        <w:rPr>
          <w:rStyle w:val="Appelnotedebasdep"/>
        </w:rPr>
        <w:footnoteReference w:id="16"/>
      </w:r>
      <w:r w:rsidR="00077275">
        <w:t xml:space="preserve"> modifizi</w:t>
      </w:r>
      <w:r w:rsidR="002823F6">
        <w:t>e</w:t>
      </w:r>
      <w:r w:rsidR="00077275">
        <w:t>rt das Plakat eine Einstellung aus dem Film</w:t>
      </w:r>
      <w:r w:rsidR="00E77498">
        <w:t xml:space="preserve"> (36:11)</w:t>
      </w:r>
      <w:r w:rsidR="00077275">
        <w:t xml:space="preserve">, in der Schlomo mit ausgebreiteten Armen auf dem Dach des Zuges </w:t>
      </w:r>
      <w:r w:rsidR="002823F6">
        <w:t>balanciert</w:t>
      </w:r>
      <w:r w:rsidR="00C82684">
        <w:t>.</w:t>
      </w:r>
      <w:r w:rsidR="00C82684">
        <w:rPr>
          <w:rStyle w:val="Appelnotedebasdep"/>
        </w:rPr>
        <w:footnoteReference w:id="17"/>
      </w:r>
      <w:r w:rsidR="00E77498">
        <w:t xml:space="preserve"> Verändert werden zumeist die Farben, oft auch der Hintergrund. Die signifikanteste Modifikation des Filmstills, die in allen Varianten vorkommt, bildet die Ersetzung der Mütze, die Schlomo im Film hält, </w:t>
      </w:r>
      <w:r w:rsidR="002823F6">
        <w:t>durch eine</w:t>
      </w:r>
      <w:r w:rsidR="00E77498">
        <w:t xml:space="preserve"> Geige. So wird für die Werbestrategie der Narr zum </w:t>
      </w:r>
      <w:r w:rsidR="00E77498" w:rsidRPr="00907C18">
        <w:rPr>
          <w:i/>
        </w:rPr>
        <w:t>Fiddler on the Roof</w:t>
      </w:r>
      <w:r w:rsidR="00907C18">
        <w:rPr>
          <w:i/>
        </w:rPr>
        <w:t xml:space="preserve"> </w:t>
      </w:r>
      <w:r w:rsidR="00682303">
        <w:t>des Z</w:t>
      </w:r>
      <w:r w:rsidR="00907C18" w:rsidRPr="00907C18">
        <w:t>uges</w:t>
      </w:r>
      <w:r w:rsidR="00E77498">
        <w:t>.</w:t>
      </w:r>
    </w:p>
    <w:p w:rsidR="00EC7112" w:rsidRDefault="00344EAB" w:rsidP="00084170">
      <w:pPr>
        <w:jc w:val="both"/>
        <w:rPr>
          <w:iCs/>
        </w:rPr>
      </w:pPr>
      <w:r>
        <w:t>Als Vorlage für die Broadway-Produktion (1964) resp. den Musical-Film diente S</w:t>
      </w:r>
      <w:r w:rsidR="00572F77">
        <w:t>c</w:t>
      </w:r>
      <w:r>
        <w:t>holem Alejchems jiddische Erzählung „</w:t>
      </w:r>
      <w:r>
        <w:rPr>
          <w:i/>
          <w:iCs/>
        </w:rPr>
        <w:t xml:space="preserve">Tewje der </w:t>
      </w:r>
      <w:r w:rsidRPr="00344EAB">
        <w:rPr>
          <w:i/>
          <w:iCs/>
        </w:rPr>
        <w:t>Milchiger</w:t>
      </w:r>
      <w:r>
        <w:rPr>
          <w:iCs/>
        </w:rPr>
        <w:t>“</w:t>
      </w:r>
      <w:r w:rsidR="00DC72FD">
        <w:rPr>
          <w:iCs/>
        </w:rPr>
        <w:t xml:space="preserve"> (1895)</w:t>
      </w:r>
      <w:r>
        <w:rPr>
          <w:iCs/>
        </w:rPr>
        <w:t>.</w:t>
      </w:r>
      <w:r w:rsidR="0003170F">
        <w:rPr>
          <w:rStyle w:val="Appelnotedebasdep"/>
          <w:iCs/>
        </w:rPr>
        <w:footnoteReference w:id="18"/>
      </w:r>
      <w:r>
        <w:rPr>
          <w:iCs/>
        </w:rPr>
        <w:t xml:space="preserve"> </w:t>
      </w:r>
      <w:r w:rsidR="00287FB1">
        <w:rPr>
          <w:iCs/>
        </w:rPr>
        <w:t>Ale</w:t>
      </w:r>
      <w:r w:rsidR="00572F77">
        <w:rPr>
          <w:iCs/>
        </w:rPr>
        <w:t>j</w:t>
      </w:r>
      <w:r w:rsidR="00287FB1">
        <w:rPr>
          <w:iCs/>
        </w:rPr>
        <w:t xml:space="preserve">chem, neben </w:t>
      </w:r>
      <w:hyperlink r:id="rId7" w:tooltip="Mendele Moicher Sforim" w:history="1">
        <w:r w:rsidR="00287FB1" w:rsidRPr="00287FB1">
          <w:rPr>
            <w:iCs/>
          </w:rPr>
          <w:t>Mendele Moicher Sforim</w:t>
        </w:r>
      </w:hyperlink>
      <w:r w:rsidR="00287FB1" w:rsidRPr="00287FB1">
        <w:rPr>
          <w:iCs/>
        </w:rPr>
        <w:t xml:space="preserve">, </w:t>
      </w:r>
      <w:hyperlink r:id="rId8" w:tooltip="Itzhok Lejb Perez" w:history="1">
        <w:r w:rsidR="00287FB1" w:rsidRPr="00287FB1">
          <w:rPr>
            <w:iCs/>
          </w:rPr>
          <w:t>Itzhok Lejb Perez</w:t>
        </w:r>
      </w:hyperlink>
      <w:r w:rsidR="00287FB1">
        <w:rPr>
          <w:iCs/>
        </w:rPr>
        <w:t xml:space="preserve"> und</w:t>
      </w:r>
      <w:r w:rsidR="00287FB1" w:rsidRPr="00287FB1">
        <w:rPr>
          <w:iCs/>
        </w:rPr>
        <w:t xml:space="preserve"> </w:t>
      </w:r>
      <w:hyperlink r:id="rId9" w:tooltip="Israel Aksenfeld" w:history="1">
        <w:r w:rsidR="00287FB1" w:rsidRPr="00287FB1">
          <w:rPr>
            <w:iCs/>
          </w:rPr>
          <w:t>Israel Aksenfeld</w:t>
        </w:r>
      </w:hyperlink>
      <w:r w:rsidR="00287FB1">
        <w:rPr>
          <w:iCs/>
        </w:rPr>
        <w:t xml:space="preserve"> einer der Väter der modernen ostjiddischen Literatur,</w:t>
      </w:r>
      <w:r w:rsidR="00B65E39">
        <w:rPr>
          <w:rStyle w:val="Appelnotedebasdep"/>
          <w:iCs/>
        </w:rPr>
        <w:footnoteReference w:id="19"/>
      </w:r>
      <w:r w:rsidR="00287FB1">
        <w:rPr>
          <w:iCs/>
        </w:rPr>
        <w:t xml:space="preserve"> beschre</w:t>
      </w:r>
      <w:r w:rsidR="00B65E39">
        <w:rPr>
          <w:iCs/>
        </w:rPr>
        <w:t>i</w:t>
      </w:r>
      <w:r w:rsidR="00287FB1">
        <w:rPr>
          <w:iCs/>
        </w:rPr>
        <w:t>bt in seinem Werk naturalistisch</w:t>
      </w:r>
      <w:r w:rsidR="000F4A31">
        <w:rPr>
          <w:iCs/>
        </w:rPr>
        <w:t>/humoristisch</w:t>
      </w:r>
      <w:r w:rsidR="00287FB1">
        <w:rPr>
          <w:iCs/>
        </w:rPr>
        <w:t xml:space="preserve"> das Leben und die Welt der Juden Osteuropas. Dabei betont er </w:t>
      </w:r>
      <w:r w:rsidR="006C66AD">
        <w:rPr>
          <w:iCs/>
        </w:rPr>
        <w:t xml:space="preserve">die fröhliche Lebensart, die jedem Unheil mit einem Lächeln leichter begegnet, </w:t>
      </w:r>
      <w:r w:rsidR="00506755">
        <w:rPr>
          <w:iCs/>
        </w:rPr>
        <w:t>allerdings nicht ohne die grassierende Armut, die Machtverhältnisse im Innern wie gegenüber den Christen und staatlichen Institutionen sowie den religiösen Fundamentalismus zu kritisieren</w:t>
      </w:r>
      <w:r w:rsidR="006C66AD">
        <w:rPr>
          <w:iCs/>
        </w:rPr>
        <w:t>.</w:t>
      </w:r>
      <w:r w:rsidR="001F0BEB">
        <w:rPr>
          <w:iCs/>
        </w:rPr>
        <w:t xml:space="preserve"> Seine humorvollen Geschichten bilden gerade auch wegen ihres großen </w:t>
      </w:r>
      <w:r w:rsidR="0050788F">
        <w:rPr>
          <w:iCs/>
        </w:rPr>
        <w:t>kommerziellen Erfolges nach Alej</w:t>
      </w:r>
      <w:r w:rsidR="001F0BEB">
        <w:rPr>
          <w:iCs/>
        </w:rPr>
        <w:t xml:space="preserve">chems Emigration in die USA ein zentrales Moment im </w:t>
      </w:r>
      <w:r w:rsidR="00DF5F8C">
        <w:rPr>
          <w:iCs/>
        </w:rPr>
        <w:t xml:space="preserve">schon zu Beginn </w:t>
      </w:r>
      <w:r w:rsidR="001F0BEB">
        <w:rPr>
          <w:iCs/>
        </w:rPr>
        <w:t>mit Nostalgie aufgeladenen Bild des S</w:t>
      </w:r>
      <w:r w:rsidR="001A6061">
        <w:rPr>
          <w:iCs/>
        </w:rPr>
        <w:t>c</w:t>
      </w:r>
      <w:r w:rsidR="001F0BEB">
        <w:rPr>
          <w:iCs/>
        </w:rPr>
        <w:t>htetls.</w:t>
      </w:r>
      <w:r w:rsidR="0035118D">
        <w:rPr>
          <w:iCs/>
        </w:rPr>
        <w:t xml:space="preserve"> Die Mehrdimensionalität seiner Texte geht aber in der Popularisierung seiner Geschichten verloren. </w:t>
      </w:r>
      <w:r w:rsidR="00EA6B57">
        <w:rPr>
          <w:iCs/>
        </w:rPr>
        <w:t xml:space="preserve">Besondere Kritik erntete das Musical </w:t>
      </w:r>
      <w:r w:rsidR="00EA6B57" w:rsidRPr="00E43705">
        <w:rPr>
          <w:i/>
          <w:iCs/>
        </w:rPr>
        <w:t>Fiddler on the Roof</w:t>
      </w:r>
      <w:r w:rsidR="00EA6B57">
        <w:rPr>
          <w:iCs/>
        </w:rPr>
        <w:t xml:space="preserve">, das in den 60er Jahren </w:t>
      </w:r>
      <w:r w:rsidR="00EA6B57">
        <w:rPr>
          <w:iCs/>
        </w:rPr>
        <w:lastRenderedPageBreak/>
        <w:t>weltweit die erfolgreichste Musical-Produktion war.</w:t>
      </w:r>
      <w:r w:rsidR="003E6417">
        <w:rPr>
          <w:iCs/>
        </w:rPr>
        <w:t xml:space="preserve"> </w:t>
      </w:r>
      <w:r w:rsidR="00E43705">
        <w:rPr>
          <w:iCs/>
        </w:rPr>
        <w:t>Kritisiert wurde das farbenfrohe und dynamische Spektakel als zu glatt, oberflächlich, sentimental und gereinigt von allem, was zu sehr jüdisch sein könnte, incl. religiöse</w:t>
      </w:r>
      <w:r w:rsidR="00B65E39">
        <w:rPr>
          <w:iCs/>
        </w:rPr>
        <w:t>r</w:t>
      </w:r>
      <w:r w:rsidR="00E43705">
        <w:rPr>
          <w:iCs/>
        </w:rPr>
        <w:t xml:space="preserve"> Gebote und Rituale</w:t>
      </w:r>
      <w:r w:rsidR="00E305FF">
        <w:rPr>
          <w:iCs/>
        </w:rPr>
        <w:t>; kurz, man beklagte die Amerikanisierung</w:t>
      </w:r>
      <w:r w:rsidR="002E5537">
        <w:rPr>
          <w:iCs/>
        </w:rPr>
        <w:t>.</w:t>
      </w:r>
      <w:r w:rsidR="002E5537">
        <w:rPr>
          <w:rStyle w:val="Appelnotedebasdep"/>
          <w:iCs/>
        </w:rPr>
        <w:footnoteReference w:id="20"/>
      </w:r>
      <w:r w:rsidR="00101245">
        <w:rPr>
          <w:iCs/>
        </w:rPr>
        <w:t xml:space="preserve"> </w:t>
      </w:r>
      <w:r w:rsidR="00101245" w:rsidRPr="00101245">
        <w:rPr>
          <w:iCs/>
          <w:lang w:val="en-US"/>
        </w:rPr>
        <w:t xml:space="preserve">Für Robert Burstein hatte die Inszenierung „about the same relation to its source as unleavened cocktail wafers do to Passover </w:t>
      </w:r>
      <w:r w:rsidR="00101245" w:rsidRPr="00101245">
        <w:rPr>
          <w:i/>
          <w:iCs/>
          <w:lang w:val="en-US"/>
        </w:rPr>
        <w:t>matzoth</w:t>
      </w:r>
      <w:r w:rsidR="00101245" w:rsidRPr="00101245">
        <w:rPr>
          <w:iCs/>
          <w:lang w:val="en-US"/>
        </w:rPr>
        <w:t>.“</w:t>
      </w:r>
      <w:r w:rsidR="00101245">
        <w:rPr>
          <w:rStyle w:val="Appelnotedebasdep"/>
          <w:iCs/>
          <w:lang w:val="en-US"/>
        </w:rPr>
        <w:footnoteReference w:id="21"/>
      </w:r>
      <w:r w:rsidR="00D11B2B">
        <w:rPr>
          <w:iCs/>
          <w:lang w:val="en-US"/>
        </w:rPr>
        <w:t xml:space="preserve"> </w:t>
      </w:r>
      <w:r w:rsidR="00D11B2B" w:rsidRPr="00D11B2B">
        <w:rPr>
          <w:iCs/>
        </w:rPr>
        <w:t xml:space="preserve">Gegenüber dem Film ist die Kritik genauso berechtigt und Philip Roths Schmähung als </w:t>
      </w:r>
      <w:r w:rsidR="00EE3EE1">
        <w:rPr>
          <w:iCs/>
        </w:rPr>
        <w:t>„</w:t>
      </w:r>
      <w:r w:rsidR="00D11B2B" w:rsidRPr="00D11B2B">
        <w:rPr>
          <w:iCs/>
        </w:rPr>
        <w:t>shtetl kitsch”</w:t>
      </w:r>
      <w:r w:rsidR="00D11B2B">
        <w:rPr>
          <w:rStyle w:val="Appelnotedebasdep"/>
          <w:iCs/>
          <w:lang w:val="en-US"/>
        </w:rPr>
        <w:footnoteReference w:id="22"/>
      </w:r>
      <w:r w:rsidR="00007E8A">
        <w:rPr>
          <w:iCs/>
        </w:rPr>
        <w:t xml:space="preserve"> lässt sich durchaus nachvollziehen.</w:t>
      </w:r>
      <w:r w:rsidR="007E2756">
        <w:rPr>
          <w:iCs/>
        </w:rPr>
        <w:t xml:space="preserve"> Whitfield gibt allerdings die Verdienste von Musical und Film zu bedenken: Bei aller notwendigen Amerikanisierung geht sicher einiges der Tradition, Religion, Sprache und Kultur des osteuropäischen Judentums verloren; anderes lässt sich aber auch übersetzten und lebt in der neuen kulturellen Umgebung fort.</w:t>
      </w:r>
      <w:r w:rsidR="00181598">
        <w:rPr>
          <w:rStyle w:val="Appelnotedebasdep"/>
          <w:iCs/>
        </w:rPr>
        <w:footnoteReference w:id="23"/>
      </w:r>
    </w:p>
    <w:p w:rsidR="00BC1AD0" w:rsidRDefault="00BC1AD0" w:rsidP="00084170">
      <w:pPr>
        <w:jc w:val="both"/>
        <w:rPr>
          <w:iCs/>
        </w:rPr>
      </w:pPr>
      <w:r>
        <w:rPr>
          <w:iCs/>
        </w:rPr>
        <w:t>Wenn Bilder und Idee</w:t>
      </w:r>
      <w:r w:rsidR="002E5537">
        <w:rPr>
          <w:iCs/>
        </w:rPr>
        <w:t>n</w:t>
      </w:r>
      <w:r>
        <w:rPr>
          <w:iCs/>
        </w:rPr>
        <w:t xml:space="preserve"> über die Erde wandern, dann müssen sie auch zwischen </w:t>
      </w:r>
      <w:r w:rsidR="00CF389D">
        <w:rPr>
          <w:iCs/>
        </w:rPr>
        <w:t>Sprache</w:t>
      </w:r>
      <w:r>
        <w:rPr>
          <w:iCs/>
        </w:rPr>
        <w:t xml:space="preserve">n übersetzen. Bei </w:t>
      </w:r>
      <w:r w:rsidRPr="00BC1AD0">
        <w:rPr>
          <w:i/>
          <w:iCs/>
        </w:rPr>
        <w:t>Fiddler on the Roof</w:t>
      </w:r>
      <w:r>
        <w:rPr>
          <w:iCs/>
        </w:rPr>
        <w:t xml:space="preserve"> bleibt nicht viel erhalten vom Jiddischen, der Sprache, in der die Welt der </w:t>
      </w:r>
      <w:r w:rsidRPr="00BC1AD0">
        <w:rPr>
          <w:bCs/>
        </w:rPr>
        <w:t>Aschkenasim</w:t>
      </w:r>
      <w:r>
        <w:t xml:space="preserve"> </w:t>
      </w:r>
      <w:r>
        <w:rPr>
          <w:iCs/>
        </w:rPr>
        <w:t>sich selbst ausdrückt.</w:t>
      </w:r>
      <w:r w:rsidR="00CF389D">
        <w:rPr>
          <w:iCs/>
        </w:rPr>
        <w:t xml:space="preserve"> </w:t>
      </w:r>
      <w:r w:rsidR="006A6493">
        <w:rPr>
          <w:iCs/>
        </w:rPr>
        <w:t xml:space="preserve">Außer dem allgegenwärtigen </w:t>
      </w:r>
      <w:r w:rsidR="008B19FA">
        <w:rPr>
          <w:iCs/>
        </w:rPr>
        <w:t>„</w:t>
      </w:r>
      <w:r w:rsidR="006A6493">
        <w:rPr>
          <w:iCs/>
        </w:rPr>
        <w:t>mazel tov“ und dem hebräischen „l’chaim“ (Auf das Leben</w:t>
      </w:r>
      <w:r w:rsidR="00781B8C">
        <w:rPr>
          <w:iCs/>
        </w:rPr>
        <w:t>!</w:t>
      </w:r>
      <w:r w:rsidR="006A6493">
        <w:rPr>
          <w:iCs/>
        </w:rPr>
        <w:t>)</w:t>
      </w:r>
      <w:r w:rsidR="00781B8C">
        <w:rPr>
          <w:iCs/>
        </w:rPr>
        <w:t xml:space="preserve"> </w:t>
      </w:r>
      <w:r w:rsidR="002E5537">
        <w:rPr>
          <w:iCs/>
        </w:rPr>
        <w:t>sowie</w:t>
      </w:r>
      <w:r w:rsidR="00FF603F">
        <w:rPr>
          <w:iCs/>
        </w:rPr>
        <w:t xml:space="preserve"> den Namen der Figuren </w:t>
      </w:r>
      <w:r w:rsidR="00781B8C">
        <w:rPr>
          <w:iCs/>
        </w:rPr>
        <w:t>hinterlässt die Mame-Loschen keine Spuren.</w:t>
      </w:r>
      <w:r w:rsidR="00781B8C">
        <w:rPr>
          <w:rStyle w:val="Appelnotedebasdep"/>
          <w:iCs/>
        </w:rPr>
        <w:footnoteReference w:id="24"/>
      </w:r>
      <w:r w:rsidR="007045D0">
        <w:rPr>
          <w:iCs/>
        </w:rPr>
        <w:t xml:space="preserve"> </w:t>
      </w:r>
      <w:r w:rsidR="000A3929">
        <w:rPr>
          <w:iCs/>
        </w:rPr>
        <w:t xml:space="preserve">Bei </w:t>
      </w:r>
      <w:r w:rsidR="000A3929" w:rsidRPr="000A3929">
        <w:rPr>
          <w:i/>
          <w:iCs/>
        </w:rPr>
        <w:t>Train de vie</w:t>
      </w:r>
      <w:r w:rsidR="000A3929">
        <w:rPr>
          <w:iCs/>
        </w:rPr>
        <w:t xml:space="preserve"> ist es ähnlich. Gesprochen wird im Film durchgängig Französisch (teils mit </w:t>
      </w:r>
      <w:r w:rsidR="00ED2857">
        <w:rPr>
          <w:iCs/>
        </w:rPr>
        <w:t xml:space="preserve">osteuropäischem </w:t>
      </w:r>
      <w:r w:rsidR="000A3929">
        <w:rPr>
          <w:iCs/>
        </w:rPr>
        <w:t>Akzent) mit eingestreuten jiddischen Begriffen; z.B. in der Aufforderung zum Schabbes</w:t>
      </w:r>
      <w:r w:rsidR="00ED2857">
        <w:rPr>
          <w:iCs/>
        </w:rPr>
        <w:t xml:space="preserve"> (56:04)</w:t>
      </w:r>
      <w:r w:rsidR="000A3929">
        <w:rPr>
          <w:iCs/>
        </w:rPr>
        <w:t>. Für die Da</w:t>
      </w:r>
      <w:r w:rsidR="00013A9B">
        <w:rPr>
          <w:iCs/>
        </w:rPr>
        <w:t>rstellung der Religion strebt M</w:t>
      </w:r>
      <w:r w:rsidR="000A3929">
        <w:rPr>
          <w:iCs/>
        </w:rPr>
        <w:t>ihaileanu nach Authentizität</w:t>
      </w:r>
      <w:r w:rsidR="00ED2857">
        <w:rPr>
          <w:iCs/>
        </w:rPr>
        <w:t>,</w:t>
      </w:r>
      <w:r w:rsidR="00432764">
        <w:rPr>
          <w:iCs/>
        </w:rPr>
        <w:t xml:space="preserve"> auch bei der Sprache und so wird d</w:t>
      </w:r>
      <w:r w:rsidR="00ED2857">
        <w:rPr>
          <w:iCs/>
        </w:rPr>
        <w:t>er</w:t>
      </w:r>
      <w:r w:rsidR="00432764">
        <w:rPr>
          <w:iCs/>
        </w:rPr>
        <w:t xml:space="preserve"> Segen für die Abfahrt auf </w:t>
      </w:r>
      <w:r w:rsidR="000E42AC">
        <w:rPr>
          <w:iCs/>
        </w:rPr>
        <w:t xml:space="preserve">Hebräisch </w:t>
      </w:r>
      <w:r w:rsidR="00432764">
        <w:rPr>
          <w:iCs/>
        </w:rPr>
        <w:t>gegeben</w:t>
      </w:r>
      <w:r w:rsidR="005C1C97">
        <w:rPr>
          <w:iCs/>
        </w:rPr>
        <w:t xml:space="preserve"> (31:36)</w:t>
      </w:r>
      <w:r w:rsidR="00432764">
        <w:rPr>
          <w:iCs/>
        </w:rPr>
        <w:t>.</w:t>
      </w:r>
      <w:r w:rsidR="00BB7D30">
        <w:rPr>
          <w:iCs/>
        </w:rPr>
        <w:t xml:space="preserve"> Zweischneidig ist die Strategie, die der Synchronregisseur Osman Ragheb für die deutsche Fassung verfolgt: „Die jüdischen Shtetl-Bewohner spreche</w:t>
      </w:r>
      <w:r w:rsidR="006E557A">
        <w:rPr>
          <w:iCs/>
        </w:rPr>
        <w:t>n</w:t>
      </w:r>
      <w:r w:rsidR="00BB7D30">
        <w:rPr>
          <w:iCs/>
        </w:rPr>
        <w:t xml:space="preserve"> mit jiddischem Akzent, und ich habe jiddische Begriffe und Redewendungen u</w:t>
      </w:r>
      <w:r w:rsidR="006E557A">
        <w:rPr>
          <w:iCs/>
        </w:rPr>
        <w:t>n</w:t>
      </w:r>
      <w:r w:rsidR="00BB7D30">
        <w:rPr>
          <w:iCs/>
        </w:rPr>
        <w:t>tergemischt.“</w:t>
      </w:r>
      <w:r w:rsidR="006E557A">
        <w:rPr>
          <w:rStyle w:val="Appelnotedebasdep"/>
          <w:iCs/>
        </w:rPr>
        <w:footnoteReference w:id="25"/>
      </w:r>
      <w:r w:rsidR="002E68E6">
        <w:rPr>
          <w:iCs/>
        </w:rPr>
        <w:t xml:space="preserve"> Besonders gelungen erscheint mir das Ergebnis nicht. </w:t>
      </w:r>
      <w:r w:rsidR="00C6581B">
        <w:rPr>
          <w:iCs/>
        </w:rPr>
        <w:t>Das Jiddische verkommt zu einem</w:t>
      </w:r>
      <w:r w:rsidR="002E68E6">
        <w:rPr>
          <w:iCs/>
        </w:rPr>
        <w:t xml:space="preserve"> Deutsch mit lächerlichem Akzent; so wird nicht an Authentizität gewonnen, sondern ein Klischee fortgeschrieben.</w:t>
      </w:r>
    </w:p>
    <w:p w:rsidR="007A7028" w:rsidRDefault="00271360">
      <w:pPr>
        <w:jc w:val="both"/>
      </w:pPr>
      <w:r w:rsidRPr="007D49A2">
        <w:rPr>
          <w:i/>
        </w:rPr>
        <w:t>Train de vie</w:t>
      </w:r>
      <w:r>
        <w:t xml:space="preserve"> nimmt also in der Folge von </w:t>
      </w:r>
      <w:r w:rsidRPr="00D51C97">
        <w:rPr>
          <w:i/>
        </w:rPr>
        <w:t>Fiddler on the Roof</w:t>
      </w:r>
      <w:r>
        <w:t xml:space="preserve"> und Scholem Ale</w:t>
      </w:r>
      <w:r w:rsidR="00776E40">
        <w:t>j</w:t>
      </w:r>
      <w:r>
        <w:t xml:space="preserve">chem am Transport des Schtetls aus der osteuropäischen Ebene in das amerikanische und europäische kollektive </w:t>
      </w:r>
      <w:r w:rsidR="00D51C97">
        <w:t>Bewusstseins</w:t>
      </w:r>
      <w:r>
        <w:t xml:space="preserve"> teil. </w:t>
      </w:r>
      <w:r w:rsidR="00E65BF1">
        <w:t>Dieser Prozess wurde schon bei Ale</w:t>
      </w:r>
      <w:r w:rsidR="00776E40">
        <w:t>j</w:t>
      </w:r>
      <w:r w:rsidR="00E65BF1">
        <w:t>chem durch das Exil in den USA unterstützt, heute</w:t>
      </w:r>
      <w:r w:rsidR="004965EA">
        <w:t>,</w:t>
      </w:r>
      <w:r w:rsidR="00E65BF1">
        <w:t xml:space="preserve"> nach der Vernichtung dieser Lebensart durch die Nazis, kann an diesem Bild </w:t>
      </w:r>
      <w:r w:rsidR="00825FCA">
        <w:t>ungestört</w:t>
      </w:r>
      <w:r w:rsidR="00E65BF1">
        <w:t xml:space="preserve"> durch Realitätsfragmente gearbeitet werden.</w:t>
      </w:r>
      <w:r w:rsidR="000774B5">
        <w:t xml:space="preserve"> Ein</w:t>
      </w:r>
      <w:r w:rsidR="004965EA">
        <w:t>en</w:t>
      </w:r>
      <w:r w:rsidR="000774B5">
        <w:t xml:space="preserve"> </w:t>
      </w:r>
      <w:r w:rsidR="001213B5">
        <w:t>zentrale</w:t>
      </w:r>
      <w:r w:rsidR="004965EA">
        <w:t>n</w:t>
      </w:r>
      <w:r w:rsidR="000774B5">
        <w:t xml:space="preserve"> Aspekt der Identität</w:t>
      </w:r>
      <w:r w:rsidR="001213B5">
        <w:t xml:space="preserve"> der Schtetl-Bewohner, der weder bei Ale</w:t>
      </w:r>
      <w:r w:rsidR="00825FCA">
        <w:t>j</w:t>
      </w:r>
      <w:r w:rsidR="001213B5">
        <w:t xml:space="preserve">chem, bei </w:t>
      </w:r>
      <w:r w:rsidR="001213B5" w:rsidRPr="001213B5">
        <w:rPr>
          <w:i/>
        </w:rPr>
        <w:t>Fiddler on the Roof</w:t>
      </w:r>
      <w:r w:rsidR="001213B5">
        <w:t xml:space="preserve"> noch bei </w:t>
      </w:r>
      <w:r w:rsidR="001213B5" w:rsidRPr="007D49A2">
        <w:rPr>
          <w:i/>
        </w:rPr>
        <w:t>Train de vie</w:t>
      </w:r>
      <w:r w:rsidR="001213B5">
        <w:t xml:space="preserve"> fehlt, stellt der jüdische Humor dar.</w:t>
      </w:r>
      <w:r w:rsidR="006A7A80">
        <w:t xml:space="preserve"> </w:t>
      </w:r>
      <w:r w:rsidR="00A332C9">
        <w:t>Wie untrennbar S</w:t>
      </w:r>
      <w:r w:rsidR="001E356A">
        <w:t>c</w:t>
      </w:r>
      <w:r w:rsidR="00A332C9">
        <w:t>htetl und jüdischer Humor sind, wird die folgende Begriffsbestimmung zeigen, die jüdischen Humor</w:t>
      </w:r>
      <w:r w:rsidR="00790BC0">
        <w:t xml:space="preserve"> (fast ausschließlich)</w:t>
      </w:r>
      <w:r w:rsidR="00A332C9">
        <w:t xml:space="preserve"> als Humor des S</w:t>
      </w:r>
      <w:r w:rsidR="001E356A">
        <w:t>c</w:t>
      </w:r>
      <w:r w:rsidR="00A332C9">
        <w:t xml:space="preserve">htetls und damit im </w:t>
      </w:r>
      <w:r w:rsidR="005B5366">
        <w:t>weit</w:t>
      </w:r>
      <w:r w:rsidR="00A332C9">
        <w:t>en Sinne als Lebensart des S</w:t>
      </w:r>
      <w:r w:rsidR="00825FCA">
        <w:t>c</w:t>
      </w:r>
      <w:r w:rsidR="00A332C9">
        <w:t xml:space="preserve">htetls versteht. </w:t>
      </w:r>
      <w:r w:rsidR="004965EA">
        <w:t xml:space="preserve">Das </w:t>
      </w:r>
      <w:r w:rsidR="006A7A80">
        <w:t xml:space="preserve">Standartwerk </w:t>
      </w:r>
      <w:r w:rsidR="00B42E1C">
        <w:t xml:space="preserve">dazu </w:t>
      </w:r>
      <w:r w:rsidR="004965EA">
        <w:t>verfasste</w:t>
      </w:r>
      <w:r w:rsidR="006A7A80">
        <w:t xml:space="preserve"> Salcia Landmanns </w:t>
      </w:r>
      <w:r w:rsidR="004965EA">
        <w:t xml:space="preserve">mit ihrem </w:t>
      </w:r>
      <w:r w:rsidR="006A7A80">
        <w:t>Essay „Der jüdische Witz“</w:t>
      </w:r>
      <w:r w:rsidR="001809C7">
        <w:t xml:space="preserve">, </w:t>
      </w:r>
      <w:r w:rsidR="00402C43">
        <w:t xml:space="preserve">der seit 1960 immer wieder neu aufgelegt wurde, sicher auch wegen seiner reichhaltigen </w:t>
      </w:r>
      <w:r w:rsidR="008E1806">
        <w:t xml:space="preserve">Anthologie. </w:t>
      </w:r>
      <w:r w:rsidR="007356AF">
        <w:t>Mit dem Slogan der „heiter hingenommenen Trauer über die Antinomien und Aporien des Daseins“</w:t>
      </w:r>
      <w:r w:rsidR="007356AF">
        <w:rPr>
          <w:rStyle w:val="Appelnotedebasdep"/>
        </w:rPr>
        <w:footnoteReference w:id="26"/>
      </w:r>
      <w:r w:rsidR="007356AF">
        <w:t xml:space="preserve"> bringt Carlo Schmid Landmanns Analyse auf den Punkt.</w:t>
      </w:r>
      <w:r w:rsidR="00A93AF6">
        <w:t xml:space="preserve"> Sie verdeutlicht, wie sich der jüdische Witz aus der Konfrontation von Moderne mit Tradition und Religion speist. Er benötigt zum einen Bildung, wie sie z.B. die Tora-Schulen allgemein unter den Juden vermittel</w:t>
      </w:r>
      <w:r w:rsidR="00880115">
        <w:t>n</w:t>
      </w:r>
      <w:r w:rsidR="00A93AF6">
        <w:t xml:space="preserve">, </w:t>
      </w:r>
      <w:r w:rsidR="00EA4863">
        <w:t>sowie</w:t>
      </w:r>
      <w:r w:rsidR="00A93AF6">
        <w:t xml:space="preserve"> die Fähigkeit zu verdrehter Logik, wie sie z.B. in der Talmudexegese eingeübt wird. </w:t>
      </w:r>
      <w:r w:rsidR="00880115">
        <w:t xml:space="preserve">Zum anderen </w:t>
      </w:r>
      <w:r w:rsidR="00EA4863">
        <w:t>speist er sich aus</w:t>
      </w:r>
      <w:r w:rsidR="00880115">
        <w:t xml:space="preserve"> Macht- und Ausweglosi</w:t>
      </w:r>
      <w:r w:rsidR="008E14CB">
        <w:t>g</w:t>
      </w:r>
      <w:r w:rsidR="00880115">
        <w:t>keit</w:t>
      </w:r>
      <w:r w:rsidR="00EA4863">
        <w:t xml:space="preserve"> unterdrückter Menschen</w:t>
      </w:r>
      <w:r w:rsidR="00880115">
        <w:t xml:space="preserve">, </w:t>
      </w:r>
      <w:r w:rsidR="00EA4863">
        <w:t>denen er sich</w:t>
      </w:r>
      <w:r w:rsidR="00880115">
        <w:t xml:space="preserve"> als </w:t>
      </w:r>
      <w:r w:rsidR="00825FCA">
        <w:t>Ventil für</w:t>
      </w:r>
      <w:r w:rsidR="00880115">
        <w:t xml:space="preserve"> gesellschaftliche Missstände</w:t>
      </w:r>
      <w:r w:rsidR="00EA4863">
        <w:t xml:space="preserve"> anbietet</w:t>
      </w:r>
      <w:r w:rsidR="00880115">
        <w:t>.</w:t>
      </w:r>
      <w:r w:rsidR="008E14CB">
        <w:t xml:space="preserve"> In seiner Zwitterstellung als Bildungs- und Volkswitz </w:t>
      </w:r>
      <w:r w:rsidR="002C61C3">
        <w:t>kommt er nicht ohne</w:t>
      </w:r>
      <w:r w:rsidR="008E14CB">
        <w:t xml:space="preserve"> ein Medium</w:t>
      </w:r>
      <w:r w:rsidR="0090427F">
        <w:t xml:space="preserve"> aus</w:t>
      </w:r>
      <w:r w:rsidR="004E3D86">
        <w:t>,</w:t>
      </w:r>
      <w:r w:rsidR="008E14CB">
        <w:t xml:space="preserve"> das sowohl volkstümlich als auch ausgebaut genug ist, Feinheiten und komplexe Überlegungen </w:t>
      </w:r>
      <w:r w:rsidR="008E14CB">
        <w:lastRenderedPageBreak/>
        <w:t>auszudrücken</w:t>
      </w:r>
      <w:r w:rsidR="00A26280">
        <w:t>; das findet er im Jiddischen</w:t>
      </w:r>
      <w:r w:rsidR="004E3D86">
        <w:t xml:space="preserve">. </w:t>
      </w:r>
      <w:r w:rsidR="00134503">
        <w:t xml:space="preserve">Alle diese Bedingungen </w:t>
      </w:r>
      <w:r w:rsidR="00E14FF5">
        <w:t>fließen</w:t>
      </w:r>
      <w:r w:rsidR="00134503">
        <w:t xml:space="preserve"> in der Kultur des S</w:t>
      </w:r>
      <w:r w:rsidR="002C61C3">
        <w:t>c</w:t>
      </w:r>
      <w:r w:rsidR="00134503">
        <w:t>htetls z</w:t>
      </w:r>
      <w:r w:rsidR="006C2D08">
        <w:t xml:space="preserve">usammen. Für Landmann </w:t>
      </w:r>
      <w:r w:rsidR="00E14FF5">
        <w:t>konnte deshalb</w:t>
      </w:r>
      <w:r w:rsidR="006C2D08">
        <w:t xml:space="preserve"> der jüdische Witz „nur durch das ost- und mitteleuropäi</w:t>
      </w:r>
      <w:r w:rsidR="00640219">
        <w:t>s</w:t>
      </w:r>
      <w:r w:rsidR="006C2D08">
        <w:t>che Judentum nach dem Einbruch der Emanzipation, der Aufklärung geschaffen werden</w:t>
      </w:r>
      <w:r w:rsidR="00BE1E56">
        <w:t>.</w:t>
      </w:r>
      <w:r w:rsidR="006C2D08">
        <w:t>“</w:t>
      </w:r>
      <w:r w:rsidR="006C2D08">
        <w:rPr>
          <w:rStyle w:val="Appelnotedebasdep"/>
        </w:rPr>
        <w:footnoteReference w:id="27"/>
      </w:r>
      <w:r w:rsidR="006C2D08">
        <w:t xml:space="preserve"> In Polen blieb seine Tradition am längsten lebendig aufgrund des „ständigen Zustroms talmudisch gebildeter Juden zur neuzeitlichen Form der Geistigkeit.“</w:t>
      </w:r>
      <w:r w:rsidR="006C2D08">
        <w:rPr>
          <w:rStyle w:val="Appelnotedebasdep"/>
        </w:rPr>
        <w:footnoteReference w:id="28"/>
      </w:r>
      <w:r w:rsidR="006C2D08">
        <w:t xml:space="preserve"> Mit der Vernichtung des d</w:t>
      </w:r>
      <w:r w:rsidR="009D68B9">
        <w:t xml:space="preserve">ortigen Judentums starb nach Landmanns Interpretation </w:t>
      </w:r>
      <w:r w:rsidR="006C2D08">
        <w:t>auch der jüdische Witz.</w:t>
      </w:r>
    </w:p>
    <w:p w:rsidR="009A405E" w:rsidRDefault="009D68B9">
      <w:pPr>
        <w:jc w:val="both"/>
      </w:pPr>
      <w:r>
        <w:t>Ihr</w:t>
      </w:r>
      <w:r w:rsidR="009A405E">
        <w:t xml:space="preserve"> Blick ist hier durch die Katastrophe des Holocaust verengt. Trotz der Vernichtung der Juden Ost- und </w:t>
      </w:r>
      <w:r w:rsidR="00316F41">
        <w:t>Ostmittele</w:t>
      </w:r>
      <w:r w:rsidR="009A405E">
        <w:t xml:space="preserve">uropas </w:t>
      </w:r>
      <w:r w:rsidR="00316F41">
        <w:t>verschwand</w:t>
      </w:r>
      <w:r w:rsidR="009A405E">
        <w:t xml:space="preserve"> die Kultur des S</w:t>
      </w:r>
      <w:r w:rsidR="004B4814">
        <w:t>c</w:t>
      </w:r>
      <w:r w:rsidR="009A405E">
        <w:t>htetls und damit sein Witz nicht vollstän</w:t>
      </w:r>
      <w:r w:rsidR="0035573B">
        <w:t>d</w:t>
      </w:r>
      <w:r w:rsidR="009A405E">
        <w:t xml:space="preserve">ig. </w:t>
      </w:r>
      <w:r w:rsidR="00BA3C89">
        <w:t xml:space="preserve">Er </w:t>
      </w:r>
      <w:r w:rsidR="0090427F">
        <w:t xml:space="preserve">wurde zwar deportiert, hat jedoch </w:t>
      </w:r>
      <w:r w:rsidR="00BA3C89">
        <w:t xml:space="preserve">eine neue Heimat im Exil, vor allem in den USA gefunden. </w:t>
      </w:r>
      <w:r w:rsidR="00EF781C">
        <w:t>Damit sind die sozialen Umst</w:t>
      </w:r>
      <w:r w:rsidR="0035573B">
        <w:t>ände, die Landmann für seine Ent</w:t>
      </w:r>
      <w:r w:rsidR="00EF781C">
        <w:t>stehung und Blüte verantwortlich macht</w:t>
      </w:r>
      <w:r w:rsidR="00316F41">
        <w:t>,</w:t>
      </w:r>
      <w:r w:rsidR="00EF781C">
        <w:t xml:space="preserve"> einerseits weggefallen, andererseits bestehen sie, besonders die Konfrontation von Moderne und Tradition, in neuen (verschärften) Umständen fort. Speziell bieten die Antinomien und Aporien der Bewahrung einer verlorenen Lebensart in einer neuen Heimat reichen Nährboden, um den jüdischen Witz in anderer Sprache und Kultur florieren zu lassen.</w:t>
      </w:r>
      <w:r w:rsidR="009D49F1">
        <w:rPr>
          <w:rStyle w:val="Appelnotedebasdep"/>
        </w:rPr>
        <w:footnoteReference w:id="29"/>
      </w:r>
      <w:r w:rsidR="000111DE">
        <w:t xml:space="preserve"> Zwischen Museum und Anpassung lebt das literarische Erbe, die Erinnerung an das S</w:t>
      </w:r>
      <w:r w:rsidR="00316F41">
        <w:t>c</w:t>
      </w:r>
      <w:r w:rsidR="000111DE">
        <w:t xml:space="preserve">htetl und seine Lebensart incl. </w:t>
      </w:r>
      <w:r w:rsidR="004034F5">
        <w:t>d</w:t>
      </w:r>
      <w:r w:rsidR="000111DE">
        <w:t>es Humors fort.</w:t>
      </w:r>
    </w:p>
    <w:p w:rsidR="006462F0" w:rsidRDefault="00BC7323">
      <w:pPr>
        <w:jc w:val="both"/>
      </w:pPr>
      <w:r>
        <w:t xml:space="preserve">In </w:t>
      </w:r>
      <w:r w:rsidR="006462F0">
        <w:t xml:space="preserve">diesem neuen kulturellen Feld kann man sich sehr unterschiedlich verorten. </w:t>
      </w:r>
      <w:r w:rsidR="006462F0" w:rsidRPr="006462F0">
        <w:rPr>
          <w:i/>
        </w:rPr>
        <w:t>Fiddler on the Roof</w:t>
      </w:r>
      <w:r w:rsidR="006462F0">
        <w:t xml:space="preserve"> geht besonders weit in der Assimilation ans amerikanische Showbusiness und wirft dabei besonders viel typisch </w:t>
      </w:r>
      <w:r w:rsidR="007D33C7">
        <w:t xml:space="preserve">Jüdisches </w:t>
      </w:r>
      <w:r w:rsidR="006462F0">
        <w:t xml:space="preserve">über Bord. </w:t>
      </w:r>
      <w:r w:rsidR="006462F0" w:rsidRPr="007D49A2">
        <w:rPr>
          <w:i/>
        </w:rPr>
        <w:t>Train de vie</w:t>
      </w:r>
      <w:r w:rsidR="006462F0">
        <w:t xml:space="preserve"> </w:t>
      </w:r>
      <w:r w:rsidR="007D33C7">
        <w:t>bewahrt deutlich mehr</w:t>
      </w:r>
      <w:r w:rsidR="008776F5">
        <w:t>,</w:t>
      </w:r>
      <w:r w:rsidR="007D33C7">
        <w:t xml:space="preserve"> unter anderem auch vom jüdischen Humor, was folgendes Beispiel illust</w:t>
      </w:r>
      <w:r w:rsidR="008776F5">
        <w:t>r</w:t>
      </w:r>
      <w:r w:rsidR="007D33C7">
        <w:t>iert.</w:t>
      </w:r>
      <w:r w:rsidR="00832E83">
        <w:rPr>
          <w:rStyle w:val="Appelnotedebasdep"/>
        </w:rPr>
        <w:footnoteReference w:id="30"/>
      </w:r>
      <w:r w:rsidR="0042282F">
        <w:t xml:space="preserve"> Die S</w:t>
      </w:r>
      <w:r w:rsidR="00F578FD">
        <w:t>c</w:t>
      </w:r>
      <w:r w:rsidR="0042282F">
        <w:t xml:space="preserve">htetl-Bewohner konnten </w:t>
      </w:r>
      <w:r w:rsidR="00797559">
        <w:t>als Helfer bei der Flucht</w:t>
      </w:r>
      <w:r w:rsidR="0042282F">
        <w:t xml:space="preserve"> den Schriftsteller Israël Schmecht gewinnen. Er verlässt sein </w:t>
      </w:r>
      <w:r w:rsidR="00F320E1">
        <w:t xml:space="preserve">Schweizer </w:t>
      </w:r>
      <w:r w:rsidR="0042282F">
        <w:t>Exil, um die designierten Nazis in deutscher Kultur und Sprache sowie der Psychologie der SS zu unterweisen.</w:t>
      </w:r>
      <w:r w:rsidR="005C0B5B">
        <w:rPr>
          <w:rStyle w:val="Appelnotedebasdep"/>
        </w:rPr>
        <w:footnoteReference w:id="31"/>
      </w:r>
      <w:r w:rsidR="00F320E1">
        <w:t xml:space="preserve"> Während einer Lektion </w:t>
      </w:r>
      <w:r w:rsidR="00F26246">
        <w:t xml:space="preserve">für Mordechai, den Holzhändler, der den SS-Kommandanten spielt, </w:t>
      </w:r>
      <w:r w:rsidR="00AE2A2E">
        <w:t>entwickelt sich</w:t>
      </w:r>
      <w:r w:rsidR="00F26246">
        <w:t xml:space="preserve"> folgende</w:t>
      </w:r>
      <w:r w:rsidR="00AE2A2E">
        <w:t>r</w:t>
      </w:r>
      <w:r w:rsidR="00F26246">
        <w:t xml:space="preserve"> Dialog</w:t>
      </w:r>
      <w:r w:rsidR="001C2186">
        <w:t xml:space="preserve"> (16:59</w:t>
      </w:r>
      <w:r w:rsidR="00B74227">
        <w:t>–</w:t>
      </w:r>
      <w:r w:rsidR="00AC5218">
        <w:t>17:32</w:t>
      </w:r>
      <w:r w:rsidR="001C2186">
        <w:t>)</w:t>
      </w:r>
      <w:r w:rsidR="00F26246">
        <w:t>:</w:t>
      </w:r>
    </w:p>
    <w:p w:rsidR="00B61C3B" w:rsidRDefault="00B61C3B">
      <w:pPr>
        <w:jc w:val="both"/>
      </w:pPr>
    </w:p>
    <w:p w:rsidR="00F26246" w:rsidRDefault="00016D07" w:rsidP="00882B6E">
      <w:pPr>
        <w:ind w:left="567"/>
        <w:jc w:val="both"/>
      </w:pPr>
      <w:r>
        <w:t>Mo</w:t>
      </w:r>
      <w:r w:rsidR="00397901">
        <w:t>rdechai</w:t>
      </w:r>
      <w:r w:rsidR="00352F6B">
        <w:t>: Freu</w:t>
      </w:r>
      <w:r w:rsidR="00360212">
        <w:t>n</w:t>
      </w:r>
      <w:r w:rsidR="00352F6B">
        <w:t>dschaftliche Beziehunge</w:t>
      </w:r>
      <w:r w:rsidR="00360212">
        <w:t>n</w:t>
      </w:r>
      <w:r w:rsidR="00352F6B">
        <w:t>. [Mit jiddischem Akzent gesprochen.]</w:t>
      </w:r>
    </w:p>
    <w:p w:rsidR="00397901" w:rsidRDefault="00397901" w:rsidP="00882B6E">
      <w:pPr>
        <w:ind w:left="567"/>
        <w:jc w:val="both"/>
      </w:pPr>
      <w:r>
        <w:t>Schmecht</w:t>
      </w:r>
      <w:r w:rsidR="00352F6B">
        <w:t>: Freun</w:t>
      </w:r>
      <w:r w:rsidR="00360212">
        <w:t>d</w:t>
      </w:r>
      <w:r w:rsidR="00352F6B">
        <w:t>schaftliche Beziehungen. [in Standard-Deutsch]</w:t>
      </w:r>
    </w:p>
    <w:p w:rsidR="00352F6B" w:rsidRDefault="00352F6B" w:rsidP="00882B6E">
      <w:pPr>
        <w:tabs>
          <w:tab w:val="left" w:pos="6461"/>
        </w:tabs>
        <w:ind w:left="567"/>
        <w:jc w:val="both"/>
        <w:rPr>
          <w:lang w:val="fr-FR"/>
        </w:rPr>
      </w:pPr>
      <w:r w:rsidRPr="001C2186">
        <w:rPr>
          <w:lang w:val="fr-FR"/>
        </w:rPr>
        <w:t xml:space="preserve">Mordechai: </w:t>
      </w:r>
      <w:r w:rsidR="00D423EF">
        <w:rPr>
          <w:lang w:val="fr-FR"/>
        </w:rPr>
        <w:t xml:space="preserve">Je n’y </w:t>
      </w:r>
      <w:r w:rsidR="00882B6E">
        <w:rPr>
          <w:lang w:val="fr-FR"/>
        </w:rPr>
        <w:t>arriverai</w:t>
      </w:r>
      <w:r w:rsidR="00D423EF">
        <w:rPr>
          <w:lang w:val="fr-FR"/>
        </w:rPr>
        <w:t xml:space="preserve"> pas. </w:t>
      </w:r>
      <w:r w:rsidR="001C2186" w:rsidRPr="001C2186">
        <w:rPr>
          <w:lang w:val="fr-FR"/>
        </w:rPr>
        <w:t>Pourquoi c’est si difficile?</w:t>
      </w:r>
      <w:r w:rsidR="00D423EF">
        <w:rPr>
          <w:lang w:val="fr-FR"/>
        </w:rPr>
        <w:t xml:space="preserve"> Pourtant, ça ressemble bea</w:t>
      </w:r>
      <w:r w:rsidR="00E919DE">
        <w:rPr>
          <w:lang w:val="fr-FR"/>
        </w:rPr>
        <w:t>u</w:t>
      </w:r>
      <w:r w:rsidR="00D423EF">
        <w:rPr>
          <w:lang w:val="fr-FR"/>
        </w:rPr>
        <w:t xml:space="preserve">coup au </w:t>
      </w:r>
      <w:r w:rsidR="00320626">
        <w:rPr>
          <w:lang w:val="fr-FR"/>
        </w:rPr>
        <w:t>Yiddish</w:t>
      </w:r>
      <w:r w:rsidR="002850FC">
        <w:rPr>
          <w:lang w:val="fr-FR"/>
        </w:rPr>
        <w:t>. Je comprends tout</w:t>
      </w:r>
      <w:r w:rsidR="00593C8F">
        <w:rPr>
          <w:lang w:val="fr-FR"/>
        </w:rPr>
        <w:t>.</w:t>
      </w:r>
    </w:p>
    <w:p w:rsidR="00D77EC4" w:rsidRDefault="002850FC" w:rsidP="00882B6E">
      <w:pPr>
        <w:tabs>
          <w:tab w:val="left" w:pos="6461"/>
        </w:tabs>
        <w:ind w:left="567"/>
        <w:jc w:val="both"/>
        <w:rPr>
          <w:lang w:val="fr-FR"/>
        </w:rPr>
      </w:pPr>
      <w:r>
        <w:rPr>
          <w:lang w:val="fr-FR"/>
        </w:rPr>
        <w:t>Schmecht</w:t>
      </w:r>
      <w:r w:rsidR="00D77EC4">
        <w:rPr>
          <w:lang w:val="fr-FR"/>
        </w:rPr>
        <w:t xml:space="preserve">: </w:t>
      </w:r>
      <w:r w:rsidR="00320626">
        <w:rPr>
          <w:lang w:val="fr-FR"/>
        </w:rPr>
        <w:t xml:space="preserve">L’Allemand </w:t>
      </w:r>
      <w:r w:rsidR="00D77EC4">
        <w:rPr>
          <w:lang w:val="fr-FR"/>
        </w:rPr>
        <w:t xml:space="preserve">est une langue rigide, Mordechai, </w:t>
      </w:r>
      <w:r w:rsidR="00320626">
        <w:rPr>
          <w:lang w:val="fr-FR"/>
        </w:rPr>
        <w:t>précise</w:t>
      </w:r>
      <w:r w:rsidR="00D77EC4">
        <w:rPr>
          <w:lang w:val="fr-FR"/>
        </w:rPr>
        <w:t xml:space="preserve"> et triste. Le </w:t>
      </w:r>
      <w:r w:rsidR="00320626">
        <w:rPr>
          <w:lang w:val="fr-FR"/>
        </w:rPr>
        <w:t xml:space="preserve">Yiddish </w:t>
      </w:r>
      <w:r w:rsidR="00D77EC4">
        <w:rPr>
          <w:lang w:val="fr-FR"/>
        </w:rPr>
        <w:t>est une parodie de l’All</w:t>
      </w:r>
      <w:r w:rsidR="00320626">
        <w:rPr>
          <w:lang w:val="fr-FR"/>
        </w:rPr>
        <w:t>e</w:t>
      </w:r>
      <w:r w:rsidR="00D77EC4">
        <w:rPr>
          <w:lang w:val="fr-FR"/>
        </w:rPr>
        <w:t>m</w:t>
      </w:r>
      <w:r w:rsidR="00320626">
        <w:rPr>
          <w:lang w:val="fr-FR"/>
        </w:rPr>
        <w:t>a</w:t>
      </w:r>
      <w:r w:rsidR="00D77EC4">
        <w:rPr>
          <w:lang w:val="fr-FR"/>
        </w:rPr>
        <w:t>nd. Elle a l’humour en plus.</w:t>
      </w:r>
      <w:r w:rsidR="00320626">
        <w:rPr>
          <w:lang w:val="fr-FR"/>
        </w:rPr>
        <w:t xml:space="preserve"> Donc la seule chose </w:t>
      </w:r>
      <w:r w:rsidR="00AC5218">
        <w:rPr>
          <w:lang w:val="fr-FR"/>
        </w:rPr>
        <w:t xml:space="preserve">que </w:t>
      </w:r>
      <w:r w:rsidR="00320626">
        <w:rPr>
          <w:lang w:val="fr-FR"/>
        </w:rPr>
        <w:t xml:space="preserve">je vous demande pour parler </w:t>
      </w:r>
      <w:r w:rsidR="00F1242F">
        <w:rPr>
          <w:lang w:val="fr-FR"/>
        </w:rPr>
        <w:t xml:space="preserve">parfaitement </w:t>
      </w:r>
      <w:r w:rsidR="00320626">
        <w:rPr>
          <w:lang w:val="fr-FR"/>
        </w:rPr>
        <w:t>Allemand</w:t>
      </w:r>
      <w:r w:rsidR="00F1242F" w:rsidRPr="00F1242F">
        <w:rPr>
          <w:lang w:val="fr-FR"/>
        </w:rPr>
        <w:t xml:space="preserve"> </w:t>
      </w:r>
      <w:r w:rsidR="00F1242F">
        <w:rPr>
          <w:lang w:val="fr-FR"/>
        </w:rPr>
        <w:t xml:space="preserve">et perdre </w:t>
      </w:r>
      <w:r w:rsidR="001304B9">
        <w:rPr>
          <w:lang w:val="fr-FR"/>
        </w:rPr>
        <w:t>complètement</w:t>
      </w:r>
      <w:r w:rsidR="00F1242F">
        <w:rPr>
          <w:lang w:val="fr-FR"/>
        </w:rPr>
        <w:t xml:space="preserve"> l’accent </w:t>
      </w:r>
      <w:r w:rsidR="003774A5">
        <w:rPr>
          <w:lang w:val="fr-FR"/>
        </w:rPr>
        <w:t>Yiddish</w:t>
      </w:r>
      <w:r w:rsidR="001304B9">
        <w:rPr>
          <w:lang w:val="fr-FR"/>
        </w:rPr>
        <w:t>, c’est d’enlever l’humour.</w:t>
      </w:r>
      <w:r w:rsidR="00CF4A8E">
        <w:rPr>
          <w:lang w:val="fr-FR"/>
        </w:rPr>
        <w:t xml:space="preserve"> C’est tout.</w:t>
      </w:r>
    </w:p>
    <w:p w:rsidR="00CF4A8E" w:rsidRPr="001C2186" w:rsidRDefault="00CF4A8E" w:rsidP="00882B6E">
      <w:pPr>
        <w:tabs>
          <w:tab w:val="left" w:pos="6461"/>
        </w:tabs>
        <w:ind w:left="567"/>
        <w:jc w:val="both"/>
        <w:rPr>
          <w:lang w:val="fr-FR"/>
        </w:rPr>
      </w:pPr>
      <w:r>
        <w:rPr>
          <w:lang w:val="fr-FR"/>
        </w:rPr>
        <w:t>Mordechai: Et les Allemands savent qu’on parodie leur langue ?</w:t>
      </w:r>
      <w:r w:rsidR="00575F7F">
        <w:rPr>
          <w:lang w:val="fr-FR"/>
        </w:rPr>
        <w:t xml:space="preserve"> </w:t>
      </w:r>
      <w:r w:rsidR="00AC5218">
        <w:rPr>
          <w:lang w:val="fr-FR"/>
        </w:rPr>
        <w:t>C’est p</w:t>
      </w:r>
      <w:r w:rsidR="00575F7F">
        <w:rPr>
          <w:lang w:val="fr-FR"/>
        </w:rPr>
        <w:t>eut</w:t>
      </w:r>
      <w:r w:rsidR="00AC5218">
        <w:rPr>
          <w:lang w:val="fr-FR"/>
        </w:rPr>
        <w:t>-</w:t>
      </w:r>
      <w:r w:rsidR="00575F7F">
        <w:rPr>
          <w:lang w:val="fr-FR"/>
        </w:rPr>
        <w:t xml:space="preserve">être </w:t>
      </w:r>
      <w:r w:rsidR="00AC5218">
        <w:rPr>
          <w:lang w:val="fr-FR"/>
        </w:rPr>
        <w:t>ç</w:t>
      </w:r>
      <w:r w:rsidR="00360212">
        <w:rPr>
          <w:lang w:val="fr-FR"/>
        </w:rPr>
        <w:t>a</w:t>
      </w:r>
      <w:r w:rsidR="00902FE5">
        <w:rPr>
          <w:lang w:val="fr-FR"/>
        </w:rPr>
        <w:t>,</w:t>
      </w:r>
      <w:r w:rsidR="00360212">
        <w:rPr>
          <w:lang w:val="fr-FR"/>
        </w:rPr>
        <w:t xml:space="preserve"> la cause de la guerre</w:t>
      </w:r>
      <w:r w:rsidR="00817AF4">
        <w:rPr>
          <w:lang w:val="fr-FR"/>
        </w:rPr>
        <w:t>, non</w:t>
      </w:r>
      <w:r w:rsidR="00360212">
        <w:rPr>
          <w:lang w:val="fr-FR"/>
        </w:rPr>
        <w:t> ?</w:t>
      </w:r>
    </w:p>
    <w:p w:rsidR="007356AF" w:rsidRDefault="007356AF">
      <w:pPr>
        <w:jc w:val="both"/>
        <w:rPr>
          <w:lang w:val="fr-FR"/>
        </w:rPr>
      </w:pPr>
    </w:p>
    <w:p w:rsidR="000A23AB" w:rsidRDefault="006D721C">
      <w:pPr>
        <w:jc w:val="both"/>
      </w:pPr>
      <w:r>
        <w:t>Mihaileanu schre</w:t>
      </w:r>
      <w:r w:rsidR="00FD77CC">
        <w:t>i</w:t>
      </w:r>
      <w:r>
        <w:t>bt hiermit, so wie mit dem gesamten Film, die Tradit</w:t>
      </w:r>
      <w:r w:rsidR="00FD77CC">
        <w:t>i</w:t>
      </w:r>
      <w:r>
        <w:t>on des jüdischen Humors fort, indem er einen klassischen Witz nimmt und ihn mit der Sho’ah</w:t>
      </w:r>
      <w:r w:rsidR="00FD77CC">
        <w:t xml:space="preserve"> konfrontiert</w:t>
      </w:r>
      <w:r>
        <w:t xml:space="preserve"> – wenn auch nur ungenau als „Krieg“ bezeichnet. </w:t>
      </w:r>
      <w:r w:rsidR="009C4C29">
        <w:t>Einen verwandten Witz kolportiert</w:t>
      </w:r>
      <w:r w:rsidR="00FD77CC">
        <w:t xml:space="preserve"> Landmann,</w:t>
      </w:r>
      <w:r w:rsidR="009C4C29">
        <w:t xml:space="preserve"> darin</w:t>
      </w:r>
      <w:r w:rsidR="00FD77CC">
        <w:t xml:space="preserve"> hören zwei Juden aus der Ukraine bei ihrem ersten Besuch in Deutschland die Leute reden. Verwundert bemerkt der eine: „Sej redn unser Sprach, bich’dej opzulachen fun uns.“</w:t>
      </w:r>
      <w:r w:rsidR="00FD77CC">
        <w:rPr>
          <w:rStyle w:val="Appelnotedebasdep"/>
        </w:rPr>
        <w:footnoteReference w:id="32"/>
      </w:r>
      <w:r w:rsidR="00FD77CC">
        <w:t xml:space="preserve"> </w:t>
      </w:r>
      <w:r w:rsidR="00AF431A">
        <w:t xml:space="preserve">In dieser traditionellen Version sind es noch die Deutschen, die sich vermeintlich </w:t>
      </w:r>
      <w:r w:rsidR="00AF431A">
        <w:lastRenderedPageBreak/>
        <w:t>über die Juden amüsieren. So wird verschleiert, wer hier den Witz reißt, ähnlich wird bei der Version Mihaileanus kaschiert, von wem die Ag</w:t>
      </w:r>
      <w:r w:rsidR="00C00945">
        <w:t>g</w:t>
      </w:r>
      <w:r w:rsidR="00AF431A">
        <w:t>ression ausgeht.</w:t>
      </w:r>
    </w:p>
    <w:p w:rsidR="00067DD2" w:rsidRDefault="00BC555A">
      <w:pPr>
        <w:jc w:val="both"/>
      </w:pPr>
      <w:r>
        <w:t>Der Dialog von Mordechai und Schmecht</w:t>
      </w:r>
      <w:r w:rsidR="00224AF7" w:rsidRPr="00224AF7">
        <w:t xml:space="preserve"> </w:t>
      </w:r>
      <w:r w:rsidR="0008360B">
        <w:t>offenbart</w:t>
      </w:r>
      <w:r w:rsidR="00224AF7" w:rsidRPr="00224AF7">
        <w:t xml:space="preserve"> prototypisch </w:t>
      </w:r>
      <w:r w:rsidR="00B64882">
        <w:t xml:space="preserve">die </w:t>
      </w:r>
      <w:r w:rsidR="003774A5">
        <w:t>charakteristischen</w:t>
      </w:r>
      <w:r w:rsidR="00224AF7" w:rsidRPr="00224AF7">
        <w:t xml:space="preserve"> Eigensch</w:t>
      </w:r>
      <w:r w:rsidR="00B64882">
        <w:t>a</w:t>
      </w:r>
      <w:r w:rsidR="00224AF7" w:rsidRPr="00224AF7">
        <w:t>ften jüdischen Humors.</w:t>
      </w:r>
      <w:r w:rsidR="00866FAD">
        <w:t xml:space="preserve"> Der Witz setzt sich über den Vergleich des Deutschen mit dem Jiddischen indirekt mit der politischen Situation und damit mit der Mordabsicht der Nazis auseinander. Das erfolgt nicht über eine Kritik der Deutschen, deren Sprache zwar starr und traurig, aber auch präzise ist, sondern über die Ironisierung der eigene</w:t>
      </w:r>
      <w:r w:rsidR="00CD682D">
        <w:t>n</w:t>
      </w:r>
      <w:r w:rsidR="00866FAD">
        <w:t xml:space="preserve"> Kultur. Fremdkritik versteckt sich hinter der </w:t>
      </w:r>
      <w:r w:rsidR="00906695">
        <w:t>oberflächlichen</w:t>
      </w:r>
      <w:r w:rsidR="00866FAD">
        <w:t xml:space="preserve"> Selbstkritik, die Sprache des Feindes zu parodieren.</w:t>
      </w:r>
      <w:r w:rsidR="00434892">
        <w:t xml:space="preserve"> Der </w:t>
      </w:r>
      <w:r w:rsidR="004332C9">
        <w:t>Witz</w:t>
      </w:r>
      <w:r w:rsidR="00434892">
        <w:t xml:space="preserve"> ist</w:t>
      </w:r>
      <w:r w:rsidR="004332C9">
        <w:t xml:space="preserve"> auch auf der linguistischen Ebene </w:t>
      </w:r>
      <w:r w:rsidR="00C400CD">
        <w:t xml:space="preserve">nicht </w:t>
      </w:r>
      <w:r w:rsidR="004332C9">
        <w:t xml:space="preserve">auf die jiddische Sprache angewiesen, </w:t>
      </w:r>
      <w:r w:rsidR="00434892">
        <w:t>er</w:t>
      </w:r>
      <w:r w:rsidR="004332C9">
        <w:t xml:space="preserve"> nutzt </w:t>
      </w:r>
      <w:r w:rsidR="00434892">
        <w:t>jedoch</w:t>
      </w:r>
      <w:r w:rsidR="004332C9">
        <w:t xml:space="preserve"> auf der inhaltlichen Ebene die Ähnlichkeit mit dem Deutschen. Diese </w:t>
      </w:r>
      <w:r w:rsidR="000A23AB">
        <w:t>Nähe</w:t>
      </w:r>
      <w:r w:rsidR="004332C9">
        <w:t xml:space="preserve"> wird dem eventuell ignoranten Publikum durch die Einleitung Mordechais vermittelt; nur </w:t>
      </w:r>
      <w:r w:rsidR="000A23AB">
        <w:t>indem ein Teil des selbstverständlichen Wissens der Juden über ihre Kultur einer breiten Zuschauerschaft zugänglich gemacht wird,</w:t>
      </w:r>
      <w:r w:rsidR="004332C9">
        <w:t xml:space="preserve"> funktioniert dieser Bildungswitz. Die lächelnde S</w:t>
      </w:r>
      <w:r w:rsidR="00902FE5">
        <w:t>elbstironie de</w:t>
      </w:r>
      <w:r w:rsidR="00AD3204">
        <w:t>s</w:t>
      </w:r>
      <w:r w:rsidR="00902FE5">
        <w:t xml:space="preserve"> Vergleichs wirkt besonders stark in M</w:t>
      </w:r>
      <w:r w:rsidR="00CD682D">
        <w:t>ordechais formalistischer Logik, die die Realität v</w:t>
      </w:r>
      <w:r w:rsidR="00BA3C3E">
        <w:t>erdreht: Indem er das Jiddische</w:t>
      </w:r>
      <w:r w:rsidR="00CD682D">
        <w:t xml:space="preserve"> als Parodie des Deutschen auffasst, also als permanente</w:t>
      </w:r>
      <w:r w:rsidR="00BA3C3E">
        <w:t>n</w:t>
      </w:r>
      <w:r w:rsidR="00CD682D">
        <w:t xml:space="preserve"> Witz über die Deutschen, als Aggression, über die die Deutschen sauer sein könnten, bestätigt er in der Umdrehung einen typischen Zug jüdischer Witze: Sie lachen nicht über andere, sondern über sich selbst.</w:t>
      </w:r>
      <w:r w:rsidR="001120D7">
        <w:t xml:space="preserve"> Indem</w:t>
      </w:r>
      <w:r w:rsidR="00C400CD">
        <w:t xml:space="preserve"> Mordechai</w:t>
      </w:r>
      <w:r w:rsidR="001120D7">
        <w:t xml:space="preserve"> ein</w:t>
      </w:r>
      <w:r w:rsidR="00C400CD">
        <w:t>en</w:t>
      </w:r>
      <w:r w:rsidR="001120D7">
        <w:t xml:space="preserve"> harmlose</w:t>
      </w:r>
      <w:r w:rsidR="00C400CD">
        <w:t>n</w:t>
      </w:r>
      <w:r w:rsidR="001120D7">
        <w:t xml:space="preserve"> Sche</w:t>
      </w:r>
      <w:r w:rsidR="004023DA">
        <w:t>r</w:t>
      </w:r>
      <w:r w:rsidR="001120D7">
        <w:t>z bzw. ein Missverständnis, das leicht aus der Welt zu räumen wäre, als möglich</w:t>
      </w:r>
      <w:r w:rsidR="00C400CD">
        <w:t>e</w:t>
      </w:r>
      <w:r w:rsidR="001120D7">
        <w:t xml:space="preserve"> Ursache des Vernichtungswillens der Deutschen erk</w:t>
      </w:r>
      <w:r w:rsidR="00C400CD">
        <w:t>e</w:t>
      </w:r>
      <w:r w:rsidR="001120D7">
        <w:t>nnt</w:t>
      </w:r>
      <w:r w:rsidR="00016D07">
        <w:t>,</w:t>
      </w:r>
      <w:r w:rsidR="001120D7">
        <w:t xml:space="preserve"> </w:t>
      </w:r>
      <w:r w:rsidR="00C400CD">
        <w:t>setzt er</w:t>
      </w:r>
      <w:r w:rsidR="001120D7">
        <w:t xml:space="preserve"> das Ideal der Menschlichkeit</w:t>
      </w:r>
      <w:r w:rsidR="004023DA">
        <w:t xml:space="preserve"> der grausamen Realität entgegen.</w:t>
      </w:r>
      <w:r w:rsidR="00B5184F">
        <w:t xml:space="preserve"> </w:t>
      </w:r>
      <w:r w:rsidR="00D4722A">
        <w:t>Der Holzhändler</w:t>
      </w:r>
      <w:r w:rsidR="00B5184F">
        <w:t xml:space="preserve"> deutet die mögliche Lösung nur an. Wie so oft endet der Witz in der Schwebe, oft auch in der Offenheit einer Frage</w:t>
      </w:r>
      <w:r w:rsidR="00067DD2">
        <w:rPr>
          <w:rStyle w:val="Appelnotedebasdep"/>
        </w:rPr>
        <w:footnoteReference w:id="33"/>
      </w:r>
      <w:r w:rsidR="00B5184F">
        <w:t>.</w:t>
      </w:r>
      <w:r w:rsidR="00067DD2">
        <w:t xml:space="preserve"> </w:t>
      </w:r>
      <w:r w:rsidR="00BA3C3E">
        <w:t>Er endet damit auch ähnlich wie</w:t>
      </w:r>
      <w:r w:rsidR="00A53526">
        <w:t xml:space="preserve"> der Film</w:t>
      </w:r>
      <w:r w:rsidR="00067DD2">
        <w:t xml:space="preserve"> </w:t>
      </w:r>
      <w:r w:rsidR="00067DD2" w:rsidRPr="007D49A2">
        <w:rPr>
          <w:i/>
        </w:rPr>
        <w:t>Train de vie</w:t>
      </w:r>
      <w:r w:rsidR="0035060B">
        <w:t xml:space="preserve">, wo die letzten Worte Schlomos im Schweigen eines </w:t>
      </w:r>
      <w:r w:rsidR="0035060B" w:rsidRPr="00234210">
        <w:rPr>
          <w:i/>
        </w:rPr>
        <w:t>freeze frame</w:t>
      </w:r>
      <w:r w:rsidR="0035060B">
        <w:t xml:space="preserve"> nachhallen.</w:t>
      </w:r>
    </w:p>
    <w:p w:rsidR="0009439E" w:rsidRDefault="0009439E">
      <w:pPr>
        <w:jc w:val="both"/>
      </w:pPr>
      <w:r>
        <w:t xml:space="preserve">Schlomos Geschichte endet damit, dass der Zug der Juden nach etlichen Abenteuern die rettende Frontlinie überquert. Während zu sehen ist, wie die Geretteten auf dem Dach des Zuges tanzen und von beiden Seiten der Front Granaten über ihre Kopfe zischen, löst Schlomos </w:t>
      </w:r>
      <w:r w:rsidRPr="00414B4F">
        <w:rPr>
          <w:i/>
        </w:rPr>
        <w:t>voice-over</w:t>
      </w:r>
      <w:r>
        <w:t xml:space="preserve"> Epilog die fröhliche Musik von Bregovi</w:t>
      </w:r>
      <w:r w:rsidR="001D1ADF">
        <w:t>ć</w:t>
      </w:r>
      <w:r>
        <w:t xml:space="preserve"> ab. Bald wird das Bild überblendet und das Gesicht des erzählenden Schlomo füllt die Einstellung.</w:t>
      </w:r>
      <w:r w:rsidR="00AC0133">
        <w:t xml:space="preserve"> Indem die Kamera </w:t>
      </w:r>
      <w:r w:rsidR="001D1ADF">
        <w:t>zurück</w:t>
      </w:r>
      <w:r w:rsidR="00AC0133">
        <w:t xml:space="preserve"> zoomt, wird die Glaubwürdigkeit Schlomos erschüttert: Man erkennt die Erzählposition: Schlomo in Lagerkleidung vor Barracken und hinter Stacheldraht. </w:t>
      </w:r>
      <w:r w:rsidR="006E4458">
        <w:t>Noch während Schlomos letztem Satz (</w:t>
      </w:r>
      <w:r w:rsidR="008913F5">
        <w:t>„Voilà, c</w:t>
      </w:r>
      <w:r w:rsidR="008913F5" w:rsidRPr="008376DA">
        <w:t xml:space="preserve">’est </w:t>
      </w:r>
      <w:r w:rsidR="008913F5">
        <w:t>ç</w:t>
      </w:r>
      <w:r w:rsidR="008913F5" w:rsidRPr="008376DA">
        <w:t>a, la vraie histoire de mon stetl</w:t>
      </w:r>
      <w:r w:rsidR="008913F5">
        <w:t>. Enfin, presque la vrai</w:t>
      </w:r>
      <w:r w:rsidR="00845A2B">
        <w:t>e</w:t>
      </w:r>
      <w:r w:rsidR="008913F5">
        <w:t>.“</w:t>
      </w:r>
      <w:r w:rsidR="00F25C5A">
        <w:t>) bleibt das Bild stehen. Ein nostalgisch-melancholisches Lied auf das S</w:t>
      </w:r>
      <w:r w:rsidR="000E621F">
        <w:t>c</w:t>
      </w:r>
      <w:r w:rsidR="00EA3E18">
        <w:t>htetl</w:t>
      </w:r>
      <w:r w:rsidR="00F25C5A">
        <w:t xml:space="preserve"> leitet schließlich zum Abspann über </w:t>
      </w:r>
      <w:r w:rsidR="006E4458">
        <w:t>(1:33:08</w:t>
      </w:r>
      <w:r w:rsidR="00501240">
        <w:t>–</w:t>
      </w:r>
      <w:r w:rsidR="00F25C5A">
        <w:t>1:34:38).</w:t>
      </w:r>
    </w:p>
    <w:p w:rsidR="00902E5B" w:rsidRDefault="00AE4E02">
      <w:pPr>
        <w:jc w:val="both"/>
      </w:pPr>
      <w:r>
        <w:t xml:space="preserve">Was ist eine </w:t>
      </w:r>
      <w:r w:rsidRPr="00AE4E02">
        <w:rPr>
          <w:b/>
        </w:rPr>
        <w:t>fast</w:t>
      </w:r>
      <w:r>
        <w:t xml:space="preserve"> wahre Geschichte?</w:t>
      </w:r>
      <w:r w:rsidR="000F5EB2">
        <w:t xml:space="preserve"> In der strengsten Inter</w:t>
      </w:r>
      <w:r w:rsidR="008125A4">
        <w:t>pretation von Schlomos Aussage</w:t>
      </w:r>
      <w:r w:rsidR="000F5EB2">
        <w:t xml:space="preserve"> wird die Geschichte der Rettung zur kontrafaktischen Erfindung. Dem gesamten Fluchtversuch wird die Glaubwürdigkeit entzogen. Nicht selten weigern sich Zuschauer schon früher, der wachsenden Phantastik der Geschichte zu folgen. </w:t>
      </w:r>
      <w:r w:rsidR="00270F8C">
        <w:t xml:space="preserve">Wir alle wissen: </w:t>
      </w:r>
      <w:r w:rsidR="000F5EB2">
        <w:t xml:space="preserve">In der wahren Geschichte verschleppen </w:t>
      </w:r>
      <w:r w:rsidR="00270F8C">
        <w:t xml:space="preserve">die Nazis Millionen von Juden in den Tod. Aufgrund dieses (massen)medial verbreiteten Wissens reicht das Bild Schlomos hinter Stacheldraht, um die Illusion der Erzählung endgültig zu durchbrechen. Bei dieser Interpretation muss man jedoch nicht stehen bleiben und die Lüge des Films tadeln, denn „presque la vraie“ kann auch meinen: die wahre Geschichte, nur leicht verschoben bzw. parodiert. Mit anderen Worten, man kann hinter bzw. in </w:t>
      </w:r>
      <w:r w:rsidR="00294FA3">
        <w:t xml:space="preserve">Schlomos </w:t>
      </w:r>
      <w:r w:rsidR="00270F8C">
        <w:t>Geschichte den Schatten der historisch belegten Ereignisse lesen; wie in jeder Parodie, die notwendig auch das Original enthält, wenn auch durchgestrichen im Sinne Heideggers.</w:t>
      </w:r>
      <w:r w:rsidR="00ED09CC">
        <w:t xml:space="preserve"> Man sieht immer die Todeszüge mit; man sieht die Angst der Juden in den Viehwaggons, man sieht den Hunger und die Entbehrungen</w:t>
      </w:r>
      <w:r w:rsidR="00501240">
        <w:t>,</w:t>
      </w:r>
      <w:r w:rsidR="00ED09CC">
        <w:t xml:space="preserve"> immer in </w:t>
      </w:r>
      <w:r w:rsidR="00ED09CC">
        <w:lastRenderedPageBreak/>
        <w:t>ihr Gegenteil verkehrt</w:t>
      </w:r>
      <w:r w:rsidR="00BF6DD0">
        <w:rPr>
          <w:rStyle w:val="Appelnotedebasdep"/>
        </w:rPr>
        <w:footnoteReference w:id="34"/>
      </w:r>
      <w:r w:rsidR="00ED09CC">
        <w:t xml:space="preserve">, aber auch </w:t>
      </w:r>
      <w:r w:rsidR="00CE1E0B">
        <w:t>leise und in Details angedeutet</w:t>
      </w:r>
      <w:r w:rsidR="00764E55">
        <w:rPr>
          <w:rStyle w:val="Appelnotedebasdep"/>
        </w:rPr>
        <w:footnoteReference w:id="35"/>
      </w:r>
      <w:r w:rsidR="00CE1E0B">
        <w:t>;</w:t>
      </w:r>
      <w:r w:rsidR="00ED09CC">
        <w:t xml:space="preserve"> </w:t>
      </w:r>
      <w:r w:rsidR="00CE1E0B">
        <w:t>zarte</w:t>
      </w:r>
      <w:r w:rsidR="00ED09CC">
        <w:t xml:space="preserve"> Winke, die dank der starken Präsenz der Bilder der Vernichtung reichen</w:t>
      </w:r>
      <w:r w:rsidR="00BF6DD0">
        <w:t>,</w:t>
      </w:r>
      <w:r w:rsidR="00ED09CC">
        <w:t xml:space="preserve"> </w:t>
      </w:r>
      <w:r w:rsidR="005B42C6">
        <w:t xml:space="preserve">um </w:t>
      </w:r>
      <w:r w:rsidR="00ED09CC">
        <w:t>das Grauen in uns aufzurufen.</w:t>
      </w:r>
      <w:r w:rsidR="0074038F">
        <w:t xml:space="preserve"> Man </w:t>
      </w:r>
      <w:r w:rsidR="005B42C6">
        <w:t>liest</w:t>
      </w:r>
      <w:r w:rsidR="0074038F">
        <w:t>, wenn man so will, die deutsche Geschichte im Hintergrund, die Geschichte der Täter</w:t>
      </w:r>
      <w:r w:rsidR="00E754F5">
        <w:t>,</w:t>
      </w:r>
      <w:r w:rsidR="00EF52D9">
        <w:t xml:space="preserve"> hart, traurig und präzise in ihrer Grausamkeit</w:t>
      </w:r>
      <w:r w:rsidR="00E754F5">
        <w:t xml:space="preserve">. </w:t>
      </w:r>
    </w:p>
    <w:p w:rsidR="00902E5B" w:rsidRDefault="00E754F5">
      <w:pPr>
        <w:jc w:val="both"/>
      </w:pPr>
      <w:r>
        <w:t>Es scheint noch eine zweite Geschichte durch Schlomos Bericht durch: der biblische Exodus.</w:t>
      </w:r>
      <w:r w:rsidR="006D1DF4">
        <w:rPr>
          <w:rStyle w:val="Appelnotedebasdep"/>
        </w:rPr>
        <w:footnoteReference w:id="36"/>
      </w:r>
      <w:r w:rsidR="00025517">
        <w:t xml:space="preserve"> Der </w:t>
      </w:r>
      <w:r w:rsidR="00C1778C">
        <w:t xml:space="preserve">Auszug </w:t>
      </w:r>
      <w:r w:rsidR="00025517">
        <w:t>der Israeliten aus Ägypten</w:t>
      </w:r>
      <w:r w:rsidR="00C1778C">
        <w:t xml:space="preserve"> setzt der Katastrophe des deutschen Mordens eine jüdische Rettungsgeschichte entgegen, in der sich die Wasser der Roten Meere</w:t>
      </w:r>
      <w:r w:rsidR="00436FC2">
        <w:t>s</w:t>
      </w:r>
      <w:r w:rsidR="00C1778C">
        <w:t xml:space="preserve"> entlang der Frontlinie öffnen. Diese Geschichte bleibt ernsthaft, erst durch ihre Parodie in den Abenteuern des S</w:t>
      </w:r>
      <w:r w:rsidR="00436FC2">
        <w:t>c</w:t>
      </w:r>
      <w:r w:rsidR="00C1778C">
        <w:t>htetls</w:t>
      </w:r>
      <w:r w:rsidR="00057324">
        <w:t xml:space="preserve"> tritt hinzu, was die jüdische Lebensart und Sprache von der deutschen unterscheidet: der Humor. </w:t>
      </w:r>
      <w:r w:rsidR="00057324" w:rsidRPr="007D49A2">
        <w:rPr>
          <w:i/>
        </w:rPr>
        <w:t>Train de vie</w:t>
      </w:r>
      <w:r w:rsidR="00057324">
        <w:t xml:space="preserve"> stellt unter der Oberfläche die biblische Geschichte der Errettung der </w:t>
      </w:r>
      <w:r w:rsidR="00436FC2">
        <w:t xml:space="preserve">– </w:t>
      </w:r>
      <w:r w:rsidR="00057324">
        <w:t xml:space="preserve">von ihrer Bedeutung für die Juden fast ebenso biblischen </w:t>
      </w:r>
      <w:r w:rsidR="00436FC2">
        <w:t xml:space="preserve">– </w:t>
      </w:r>
      <w:r w:rsidR="00057324">
        <w:t xml:space="preserve">Geschichte der Vernichtung, der Sho’ah gegenüber. </w:t>
      </w:r>
      <w:r w:rsidR="00436FC2">
        <w:t>Diese</w:t>
      </w:r>
      <w:r w:rsidR="00296895">
        <w:t xml:space="preserve"> beiden widerstreitenden Plots </w:t>
      </w:r>
      <w:r w:rsidR="00436FC2">
        <w:t>werden mit</w:t>
      </w:r>
      <w:r w:rsidR="00296895">
        <w:t xml:space="preserve"> Humor </w:t>
      </w:r>
      <w:r w:rsidR="00436FC2">
        <w:t>gewürzt</w:t>
      </w:r>
      <w:r w:rsidR="00296895">
        <w:t xml:space="preserve">. </w:t>
      </w:r>
      <w:r w:rsidR="00793B9C">
        <w:t xml:space="preserve">Dadurch wird die deutsche Geschichte enteignet und die jüdische Geschichte wird in die Moderne überführt. Das Ergebnis ist </w:t>
      </w:r>
      <w:r w:rsidR="006A2FEB">
        <w:t>eine</w:t>
      </w:r>
      <w:r w:rsidR="00793B9C">
        <w:t xml:space="preserve"> Erzählung der Sho’ah, die die Lebensart des S</w:t>
      </w:r>
      <w:r w:rsidR="006A2FEB">
        <w:t>c</w:t>
      </w:r>
      <w:r w:rsidR="00793B9C">
        <w:t>htetls reproduziert und so auf mehreren Ebenen dem deutschen Tod jüdisches Überleben entgegensetzt.</w:t>
      </w:r>
    </w:p>
    <w:p w:rsidR="00071C88" w:rsidRDefault="00B95C84" w:rsidP="000606E4">
      <w:pPr>
        <w:jc w:val="both"/>
      </w:pPr>
      <w:r>
        <w:t>Diese</w:t>
      </w:r>
      <w:r w:rsidR="00071C88">
        <w:t xml:space="preserve"> Geschi</w:t>
      </w:r>
      <w:r w:rsidR="00AD7B60">
        <w:t>c</w:t>
      </w:r>
      <w:r w:rsidR="00071C88">
        <w:t xml:space="preserve">hte lässt sich noch in anderer Perspektive als Parodie lesen. Mit dem Bewusstsein des Holocaust, der Vernichtung der </w:t>
      </w:r>
      <w:r w:rsidR="00C74CCA">
        <w:t xml:space="preserve">jüdischen </w:t>
      </w:r>
      <w:r w:rsidR="00071C88">
        <w:t>Kul</w:t>
      </w:r>
      <w:r>
        <w:t>t</w:t>
      </w:r>
      <w:r w:rsidR="00071C88">
        <w:t xml:space="preserve">ur, wird die </w:t>
      </w:r>
      <w:r>
        <w:t>Tradition</w:t>
      </w:r>
      <w:r w:rsidR="00071C88">
        <w:t xml:space="preserve"> nostalgischer S</w:t>
      </w:r>
      <w:r w:rsidR="00C74CCA">
        <w:t>c</w:t>
      </w:r>
      <w:r w:rsidR="00071C88">
        <w:t>htetl-Repräsentation fortgeschrieben.</w:t>
      </w:r>
      <w:r w:rsidR="00AD7B60">
        <w:t xml:space="preserve"> Gleichzeitig wird sie zerstört, so wie die Kultur selbst zerstört wurde. Dadurch dass die Sho’ah in die bunte Mähr der fröhlichen Juden einbricht – in Texten wie in Realität –, kann die Repräsentation nicht mehr aufrecht erhalten werden. Das Paradox dabei ist, dass gerade im Fortschreiben dieses Fortschreiben sich selbst zerstört und seine Unmöglichkeit nicht nur behauptet, sondern förmlich beweist</w:t>
      </w:r>
      <w:r w:rsidR="0023741D">
        <w:t>, indem die Sprache am Schluss dem Schweigen weicht</w:t>
      </w:r>
      <w:r w:rsidR="00AD7B60">
        <w:t xml:space="preserve">. </w:t>
      </w:r>
      <w:r w:rsidR="001C7B3A">
        <w:t xml:space="preserve">Das Paradox von </w:t>
      </w:r>
      <w:r w:rsidR="001C7B3A" w:rsidRPr="007D49A2">
        <w:rPr>
          <w:i/>
        </w:rPr>
        <w:t>Train de vie</w:t>
      </w:r>
      <w:r w:rsidR="001C7B3A">
        <w:t xml:space="preserve"> </w:t>
      </w:r>
      <w:r w:rsidR="00BF3B64">
        <w:t>findet</w:t>
      </w:r>
      <w:r w:rsidR="001C7B3A">
        <w:t xml:space="preserve"> seine </w:t>
      </w:r>
      <w:r w:rsidR="00E15478">
        <w:t>Analogie</w:t>
      </w:r>
      <w:r w:rsidR="001C7B3A">
        <w:t xml:space="preserve"> im Paradox des Weiterlebens einer vernichteten Kultur im Exil: Egal, ob dies in Texten liegt oder in den Ländern des Westens.</w:t>
      </w:r>
      <w:r w:rsidR="005E7CD5">
        <w:t xml:space="preserve"> Sie ist</w:t>
      </w:r>
      <w:r w:rsidR="00BF3B64">
        <w:t xml:space="preserve"> gezeichne</w:t>
      </w:r>
      <w:r w:rsidR="004A0A1A">
        <w:t>t</w:t>
      </w:r>
      <w:r w:rsidR="00BF3B64">
        <w:t xml:space="preserve"> vom Schweigen der Toten </w:t>
      </w:r>
      <w:r w:rsidR="005E7CD5">
        <w:t xml:space="preserve">bzw. </w:t>
      </w:r>
      <w:r w:rsidR="00BF3B64">
        <w:t xml:space="preserve">dem </w:t>
      </w:r>
      <w:r w:rsidR="00546364">
        <w:t>vergleichbaren</w:t>
      </w:r>
      <w:r w:rsidR="00BF3B64">
        <w:t xml:space="preserve"> Weiterreden in fremden Zungen.</w:t>
      </w:r>
    </w:p>
    <w:p w:rsidR="00340661" w:rsidRDefault="00340661">
      <w:pPr>
        <w:jc w:val="both"/>
        <w:rPr>
          <w:i/>
        </w:rPr>
      </w:pPr>
      <w:r>
        <w:t>Dieses Paradox, das Mihaileanus Film abschließt,</w:t>
      </w:r>
      <w:r w:rsidR="000C5FCC">
        <w:t xml:space="preserve"> aber zu</w:t>
      </w:r>
      <w:r>
        <w:t>gleich rückblickend öffnet und so in der Schwebe hält</w:t>
      </w:r>
      <w:r w:rsidR="000C5FCC">
        <w:t xml:space="preserve">, transportiert mehr Wahrheit bzw. eine andere Wahrheit, als </w:t>
      </w:r>
      <w:r w:rsidR="00DC25C7">
        <w:t>über</w:t>
      </w:r>
      <w:r w:rsidR="000C5FCC">
        <w:t xml:space="preserve"> Authentizität </w:t>
      </w:r>
      <w:r w:rsidR="00DC25C7">
        <w:t>erreichbar wäre</w:t>
      </w:r>
      <w:r w:rsidR="000C5FCC">
        <w:t xml:space="preserve">. Wie im </w:t>
      </w:r>
      <w:r w:rsidR="003A6941">
        <w:t xml:space="preserve">jüdischen </w:t>
      </w:r>
      <w:r w:rsidR="000C5FCC">
        <w:t xml:space="preserve">Witz schwebt diese Wahrheit </w:t>
      </w:r>
      <w:r w:rsidR="00B95C84">
        <w:t>gleich einem</w:t>
      </w:r>
      <w:r w:rsidR="000C5FCC">
        <w:t xml:space="preserve"> Schatten über den Fakten.</w:t>
      </w:r>
      <w:r w:rsidR="0022126F">
        <w:t xml:space="preserve"> Sie drückt die Antinomien der Holocaust-Repräsentation aus und führt gleichzeitig die Aporien jedes (fiktionalen) Schreibens vor: </w:t>
      </w:r>
      <w:r w:rsidR="003A6941">
        <w:t xml:space="preserve">dass </w:t>
      </w:r>
      <w:r w:rsidR="0022126F">
        <w:t>Bezug zur</w:t>
      </w:r>
      <w:r w:rsidR="0098572B">
        <w:t xml:space="preserve"> </w:t>
      </w:r>
      <w:r w:rsidR="0022126F">
        <w:t>Welt – sei es in Form von Tatsächlichkeit oder Intertextualität – du</w:t>
      </w:r>
      <w:r w:rsidR="00B95C84">
        <w:t>rch die Narratio</w:t>
      </w:r>
      <w:r w:rsidR="0098572B">
        <w:t xml:space="preserve">n ständig neu gefasst </w:t>
      </w:r>
      <w:r w:rsidR="0022126F">
        <w:t>werden muss</w:t>
      </w:r>
      <w:r w:rsidR="0098572B">
        <w:t xml:space="preserve"> und dass sich </w:t>
      </w:r>
      <w:r w:rsidR="00C0039C">
        <w:t>Narration und Welt ebenso wie</w:t>
      </w:r>
      <w:r w:rsidR="0098572B">
        <w:t xml:space="preserve"> Tatsächlichkeit und Intertextualität unentwirrbar überlagern; worin das Potential zum </w:t>
      </w:r>
      <w:r w:rsidR="00C0039C">
        <w:t xml:space="preserve">Erzählen </w:t>
      </w:r>
      <w:r w:rsidR="0098572B">
        <w:t>einer fast wahren und damit wahreren Geschichte liegt.</w:t>
      </w:r>
    </w:p>
    <w:p w:rsidR="001628C5" w:rsidRDefault="003E6606">
      <w:pPr>
        <w:jc w:val="both"/>
      </w:pPr>
      <w:r>
        <w:t xml:space="preserve">Schlomos Erzählen </w:t>
      </w:r>
      <w:r w:rsidR="005B5A18">
        <w:t>legt</w:t>
      </w:r>
      <w:r w:rsidR="009708CB">
        <w:t xml:space="preserve"> zwei</w:t>
      </w:r>
      <w:r>
        <w:t xml:space="preserve"> Orte</w:t>
      </w:r>
      <w:r w:rsidR="005B5A18">
        <w:t xml:space="preserve"> übereinander</w:t>
      </w:r>
      <w:r>
        <w:t xml:space="preserve">: </w:t>
      </w:r>
      <w:r w:rsidR="005B5A18">
        <w:t xml:space="preserve">das </w:t>
      </w:r>
      <w:r>
        <w:t>S</w:t>
      </w:r>
      <w:r w:rsidR="00F05805">
        <w:t>c</w:t>
      </w:r>
      <w:r>
        <w:t xml:space="preserve">htetl, von dem er erzählt, und das Vernichtungslager, in dem er erzählt. So wird zum einen Narration und </w:t>
      </w:r>
      <w:r w:rsidR="0085569B">
        <w:t>Weltbezug</w:t>
      </w:r>
      <w:r>
        <w:t xml:space="preserve"> überlagert</w:t>
      </w:r>
      <w:r w:rsidR="0085569B">
        <w:t xml:space="preserve"> und wieder Faktualität und Intertextualität</w:t>
      </w:r>
      <w:r w:rsidR="002F4C5D">
        <w:t xml:space="preserve"> in einander geschoben</w:t>
      </w:r>
      <w:r w:rsidR="0085569B">
        <w:t>, denn beid</w:t>
      </w:r>
      <w:r w:rsidR="00A15470">
        <w:t>e</w:t>
      </w:r>
      <w:r w:rsidR="002F4C5D">
        <w:t xml:space="preserve"> </w:t>
      </w:r>
      <w:r w:rsidR="00DD3813" w:rsidRPr="00DD3813">
        <w:rPr>
          <w:i/>
        </w:rPr>
        <w:t>topoi</w:t>
      </w:r>
      <w:r w:rsidR="002F4C5D">
        <w:t xml:space="preserve"> existieren auf einem Substrat aus Steinen und Worten und</w:t>
      </w:r>
      <w:r w:rsidR="00A15470">
        <w:t xml:space="preserve"> sind keine vollwertigen Orte, beides sind verschwundene Orte und daher imaginierte Orte.</w:t>
      </w:r>
      <w:r w:rsidR="00034559">
        <w:t xml:space="preserve"> Beides sind Orte des Verschwindens, gekennzeichnet dadurch, dass die Menschen, die in ihnen gelebt bzw. </w:t>
      </w:r>
      <w:r w:rsidR="00241E63">
        <w:t>gelitten haben</w:t>
      </w:r>
      <w:r w:rsidR="00034559">
        <w:t xml:space="preserve">, verschwunden sind. </w:t>
      </w:r>
      <w:r w:rsidR="00936CE6">
        <w:t>Beides si</w:t>
      </w:r>
      <w:r w:rsidR="00F651F4">
        <w:t xml:space="preserve">nd keine wirklichen Orte (mehr); sie existieren im kulturellen </w:t>
      </w:r>
      <w:r w:rsidR="00F651F4">
        <w:lastRenderedPageBreak/>
        <w:t xml:space="preserve">Gedächtnis fort, </w:t>
      </w:r>
      <w:r w:rsidR="009736F0">
        <w:t>jenseits des Topographischen</w:t>
      </w:r>
      <w:r w:rsidR="00F651F4">
        <w:t xml:space="preserve">. </w:t>
      </w:r>
      <w:r w:rsidR="00D27C7B">
        <w:t>Die Orte jüdischen Lebens in Ost- und Ostmitteleuropa werden von anderen Menschen bewohnt</w:t>
      </w:r>
      <w:r w:rsidR="00303361">
        <w:t>; die Orte des Massenmords überdauern zwar noch als Museum. Das</w:t>
      </w:r>
      <w:r w:rsidR="00BE72B4">
        <w:t>,</w:t>
      </w:r>
      <w:r w:rsidR="00303361">
        <w:t xml:space="preserve"> wofür sie als Chiffre stehen, der Tod in der Fabrik, </w:t>
      </w:r>
      <w:r w:rsidR="00874881">
        <w:t>entzieht sich</w:t>
      </w:r>
      <w:r w:rsidR="008144D8">
        <w:t xml:space="preserve">. Insofern </w:t>
      </w:r>
      <w:r w:rsidR="00BE72B4">
        <w:t>zeugt</w:t>
      </w:r>
      <w:r w:rsidR="008144D8">
        <w:t xml:space="preserve"> Treblinka</w:t>
      </w:r>
      <w:r w:rsidR="00F530D2">
        <w:t>, eines der größten Vernichtungslager, von dem durch systematische Verschleierung durch die Nazis kaum Spuren blieben,</w:t>
      </w:r>
      <w:r w:rsidR="008144D8">
        <w:t xml:space="preserve"> </w:t>
      </w:r>
      <w:r w:rsidR="00BE72B4">
        <w:t>vollständiger von der</w:t>
      </w:r>
      <w:r w:rsidR="008144D8">
        <w:t xml:space="preserve"> Sho’ah als Auschwitz.</w:t>
      </w:r>
      <w:r w:rsidR="00B76BB7">
        <w:t xml:space="preserve"> Beide</w:t>
      </w:r>
      <w:r w:rsidR="005A473F">
        <w:t>s</w:t>
      </w:r>
      <w:r w:rsidR="005B5A18">
        <w:t>,</w:t>
      </w:r>
      <w:r w:rsidR="00B76BB7">
        <w:t xml:space="preserve"> </w:t>
      </w:r>
      <w:r w:rsidR="00F530D2">
        <w:t>Lager und nostalgisches S</w:t>
      </w:r>
      <w:r w:rsidR="005B5A18">
        <w:t>c</w:t>
      </w:r>
      <w:r w:rsidR="00F530D2">
        <w:t>htetl</w:t>
      </w:r>
      <w:r w:rsidR="005B5A18">
        <w:t>,</w:t>
      </w:r>
      <w:r w:rsidR="00B76BB7">
        <w:t xml:space="preserve"> spuken als Nicht-Orte</w:t>
      </w:r>
      <w:r w:rsidR="009708CB">
        <w:rPr>
          <w:rStyle w:val="Appelnotedebasdep"/>
        </w:rPr>
        <w:footnoteReference w:id="37"/>
      </w:r>
      <w:r w:rsidR="00B76BB7">
        <w:t xml:space="preserve"> durch Texte und Bilder</w:t>
      </w:r>
      <w:r w:rsidR="001640B8">
        <w:t>.</w:t>
      </w:r>
      <w:r w:rsidR="00BE72B4">
        <w:t xml:space="preserve"> Nur gemeinsam, in Fülle und Leere kann man sich der Sho’ah nähern.</w:t>
      </w:r>
    </w:p>
    <w:p w:rsidR="00153C71" w:rsidRDefault="00153C71">
      <w:pPr>
        <w:jc w:val="both"/>
      </w:pPr>
      <w:r>
        <w:t xml:space="preserve">Mit dieser Ko-Präsenz antagonistischer Gegensätze etabliert </w:t>
      </w:r>
      <w:r w:rsidRPr="007D49A2">
        <w:rPr>
          <w:i/>
        </w:rPr>
        <w:t>Train de vie</w:t>
      </w:r>
      <w:r>
        <w:t xml:space="preserve"> die Logik eine</w:t>
      </w:r>
      <w:r w:rsidR="008366DD">
        <w:t>s</w:t>
      </w:r>
      <w:r>
        <w:t xml:space="preserve"> </w:t>
      </w:r>
      <w:r w:rsidR="00912008">
        <w:t>unaufhörlichen</w:t>
      </w:r>
      <w:r>
        <w:t xml:space="preserve"> Palimpsests</w:t>
      </w:r>
      <w:r w:rsidR="008366DD">
        <w:t>.</w:t>
      </w:r>
      <w:r w:rsidR="00673972">
        <w:t xml:space="preserve"> Erzählung</w:t>
      </w:r>
      <w:r w:rsidR="00547D91">
        <w:t>en</w:t>
      </w:r>
      <w:r w:rsidR="00673972">
        <w:t xml:space="preserve"> von Sho’ah und S</w:t>
      </w:r>
      <w:r w:rsidR="00B54179">
        <w:t>c</w:t>
      </w:r>
      <w:r w:rsidR="00673972">
        <w:t>htetl werden übereinander geschrieben und st</w:t>
      </w:r>
      <w:r w:rsidR="00547D91">
        <w:t>reichen sich immer wieder durch, bestätigen sich dabei aber auch. Bezeichnend ist die Überblendung von der Geschichte der Rettung gepaart mit der Lebensart des Schtetls zum Diskurs des Todes in der Rahmenerzählung Schlomos im KZ.</w:t>
      </w:r>
      <w:r w:rsidR="00BF48C9">
        <w:t xml:space="preserve"> Der Zug fährt einerseits in die Vernichtung des Lagers, andererseits in die Geschichte Schlomos, die trotz des Todes wie magisch erzählt wird und den Zug rückwirkend erst entstehen und </w:t>
      </w:r>
      <w:r w:rsidR="00B54179">
        <w:t xml:space="preserve">die Juden </w:t>
      </w:r>
      <w:r w:rsidR="00BF48C9">
        <w:t>überleben lässt.</w:t>
      </w:r>
      <w:r w:rsidR="00161595">
        <w:t xml:space="preserve"> </w:t>
      </w:r>
      <w:r w:rsidR="008C74B9">
        <w:t>In der Überblendung zum Epilog rollt</w:t>
      </w:r>
      <w:r w:rsidR="00161595">
        <w:t xml:space="preserve"> der Zug des Lebens in ein doppeltes Nirgendwo aus Lager als Schreckensort und Schtetl als Sehnsuchtsort und </w:t>
      </w:r>
      <w:r w:rsidR="00D92200">
        <w:t>erschließt</w:t>
      </w:r>
      <w:r w:rsidR="00161595">
        <w:t xml:space="preserve"> über die (Re-)Konstruktion von nostalgischer Alterität </w:t>
      </w:r>
      <w:r w:rsidR="00D92200">
        <w:t>weite</w:t>
      </w:r>
      <w:r w:rsidR="00161595">
        <w:t xml:space="preserve"> </w:t>
      </w:r>
      <w:r w:rsidR="000F6FD3">
        <w:t xml:space="preserve">Räume </w:t>
      </w:r>
      <w:r w:rsidR="00E07264">
        <w:t>der Erinnerung</w:t>
      </w:r>
      <w:r w:rsidR="00161595">
        <w:t>.</w:t>
      </w:r>
    </w:p>
    <w:p w:rsidR="00DA0F50" w:rsidRDefault="00DA0F50">
      <w:pPr>
        <w:jc w:val="both"/>
      </w:pPr>
    </w:p>
    <w:p w:rsidR="00DA0F50" w:rsidRDefault="00DA0F50">
      <w:pPr>
        <w:jc w:val="both"/>
      </w:pPr>
      <w:r>
        <w:t>Literatur</w:t>
      </w:r>
    </w:p>
    <w:p w:rsidR="00F06CE8" w:rsidRPr="00F06CE8" w:rsidRDefault="00F06CE8" w:rsidP="00F06CE8">
      <w:pPr>
        <w:pStyle w:val="Literaturverzeichnis1"/>
        <w:rPr>
          <w:lang w:val="en-US"/>
        </w:rPr>
      </w:pPr>
      <w:r w:rsidRPr="00B8484C">
        <w:t xml:space="preserve">Aristophanes (2009): </w:t>
      </w:r>
      <w:r w:rsidRPr="00B8484C">
        <w:rPr>
          <w:i/>
          <w:iCs/>
        </w:rPr>
        <w:t>Lysistrate</w:t>
      </w:r>
      <w:r w:rsidRPr="00B8484C">
        <w:t xml:space="preserve">. Trans. Niklas Holzberg. </w:t>
      </w:r>
      <w:r w:rsidRPr="00F06CE8">
        <w:rPr>
          <w:lang w:val="en-US"/>
        </w:rPr>
        <w:t>Reclams Universal-Bibliothek. Stuttgart: Reclam.</w:t>
      </w:r>
    </w:p>
    <w:p w:rsidR="00F06CE8" w:rsidRPr="00F06CE8" w:rsidRDefault="00F06CE8" w:rsidP="00F06CE8">
      <w:pPr>
        <w:pStyle w:val="Literaturverzeichnis1"/>
        <w:rPr>
          <w:lang w:val="en-US"/>
        </w:rPr>
      </w:pPr>
      <w:r>
        <w:rPr>
          <w:lang w:val="en-US"/>
        </w:rPr>
        <w:t>Bauer, Yehuda</w:t>
      </w:r>
      <w:r w:rsidRPr="00F06CE8">
        <w:rPr>
          <w:lang w:val="en-US"/>
        </w:rPr>
        <w:t xml:space="preserve"> </w:t>
      </w:r>
      <w:r>
        <w:rPr>
          <w:lang w:val="en-US"/>
        </w:rPr>
        <w:t>(</w:t>
      </w:r>
      <w:r w:rsidRPr="00F06CE8">
        <w:rPr>
          <w:lang w:val="en-US"/>
        </w:rPr>
        <w:t>2009</w:t>
      </w:r>
      <w:r>
        <w:rPr>
          <w:lang w:val="en-US"/>
        </w:rPr>
        <w:t>):</w:t>
      </w:r>
      <w:r w:rsidRPr="00F06CE8">
        <w:rPr>
          <w:lang w:val="en-US"/>
        </w:rPr>
        <w:t xml:space="preserve"> </w:t>
      </w:r>
      <w:r w:rsidRPr="00F06CE8">
        <w:rPr>
          <w:i/>
          <w:iCs/>
          <w:lang w:val="en-US"/>
        </w:rPr>
        <w:t>The Death of the Shtetl</w:t>
      </w:r>
      <w:r w:rsidRPr="00F06CE8">
        <w:rPr>
          <w:lang w:val="en-US"/>
        </w:rPr>
        <w:t>. New Haven: Yale Univ. Press.</w:t>
      </w:r>
    </w:p>
    <w:p w:rsidR="00F06CE8" w:rsidRPr="00B8484C" w:rsidRDefault="00F06CE8" w:rsidP="00F06CE8">
      <w:pPr>
        <w:pStyle w:val="Literaturverzeichnis1"/>
      </w:pPr>
      <w:r w:rsidRPr="00F06CE8">
        <w:rPr>
          <w:lang w:val="en-US"/>
        </w:rPr>
        <w:t xml:space="preserve">Brenner, David A. </w:t>
      </w:r>
      <w:r>
        <w:rPr>
          <w:lang w:val="en-US"/>
        </w:rPr>
        <w:t>(</w:t>
      </w:r>
      <w:r w:rsidRPr="00F06CE8">
        <w:rPr>
          <w:lang w:val="en-US"/>
        </w:rPr>
        <w:t>2008</w:t>
      </w:r>
      <w:r>
        <w:rPr>
          <w:lang w:val="en-US"/>
        </w:rPr>
        <w:t>):</w:t>
      </w:r>
      <w:r w:rsidRPr="00F06CE8">
        <w:rPr>
          <w:lang w:val="en-US"/>
        </w:rPr>
        <w:t xml:space="preserve"> Laughter amid catastrophe: Train of Life and tragicomic Holocaust cinema. In </w:t>
      </w:r>
      <w:r w:rsidRPr="00F06CE8">
        <w:rPr>
          <w:i/>
          <w:iCs/>
          <w:lang w:val="en-US"/>
        </w:rPr>
        <w:t>Visualizing the Holocaust</w:t>
      </w:r>
      <w:r w:rsidRPr="00F06CE8">
        <w:rPr>
          <w:lang w:val="en-US"/>
        </w:rPr>
        <w:t>, David Bathrick</w:t>
      </w:r>
      <w:r w:rsidR="00B8484C">
        <w:rPr>
          <w:lang w:val="en-US"/>
        </w:rPr>
        <w:t xml:space="preserve"> </w:t>
      </w:r>
      <w:r w:rsidR="00B8484C" w:rsidRPr="00B8484C">
        <w:rPr>
          <w:lang w:val="en-US"/>
        </w:rPr>
        <w:t>(Hg.)</w:t>
      </w:r>
      <w:r w:rsidRPr="00F06CE8">
        <w:rPr>
          <w:lang w:val="en-US"/>
        </w:rPr>
        <w:t>, Brad Prager</w:t>
      </w:r>
      <w:r w:rsidR="00B8484C">
        <w:rPr>
          <w:lang w:val="en-US"/>
        </w:rPr>
        <w:t xml:space="preserve"> </w:t>
      </w:r>
      <w:r w:rsidR="00B8484C" w:rsidRPr="00B8484C">
        <w:rPr>
          <w:lang w:val="en-US"/>
        </w:rPr>
        <w:t>(Hg.)</w:t>
      </w:r>
      <w:r w:rsidRPr="00F06CE8">
        <w:rPr>
          <w:lang w:val="en-US"/>
        </w:rPr>
        <w:t>, Michael David Richardson</w:t>
      </w:r>
      <w:r w:rsidR="00B8484C">
        <w:rPr>
          <w:lang w:val="en-US"/>
        </w:rPr>
        <w:t xml:space="preserve"> </w:t>
      </w:r>
      <w:r w:rsidR="00B8484C" w:rsidRPr="00B8484C">
        <w:rPr>
          <w:lang w:val="en-US"/>
        </w:rPr>
        <w:t>(Hg.)</w:t>
      </w:r>
      <w:r w:rsidRPr="00F06CE8">
        <w:rPr>
          <w:lang w:val="en-US"/>
        </w:rPr>
        <w:t>, 261</w:t>
      </w:r>
      <w:r w:rsidR="00E13E49">
        <w:rPr>
          <w:lang w:val="en-US"/>
        </w:rPr>
        <w:t>–</w:t>
      </w:r>
      <w:r w:rsidRPr="00F06CE8">
        <w:rPr>
          <w:lang w:val="en-US"/>
        </w:rPr>
        <w:t>276.</w:t>
      </w:r>
      <w:r w:rsidRPr="00B541BE">
        <w:rPr>
          <w:lang w:val="en-US"/>
        </w:rPr>
        <w:t xml:space="preserve"> </w:t>
      </w:r>
      <w:r w:rsidRPr="00B8484C">
        <w:t>Rochester: Camden House.</w:t>
      </w:r>
    </w:p>
    <w:p w:rsidR="00F06CE8" w:rsidRPr="00F06CE8" w:rsidRDefault="00F06CE8" w:rsidP="00F06CE8">
      <w:pPr>
        <w:pStyle w:val="Literaturverzeichnis1"/>
      </w:pPr>
      <w:r w:rsidRPr="00F06CE8">
        <w:t xml:space="preserve">Dinse, </w:t>
      </w:r>
      <w:r w:rsidR="00B8484C">
        <w:t>Helmut/</w:t>
      </w:r>
      <w:r>
        <w:t>Liptzin</w:t>
      </w:r>
      <w:r w:rsidR="00B8484C">
        <w:t>,</w:t>
      </w:r>
      <w:r w:rsidRPr="00F06CE8">
        <w:t xml:space="preserve"> </w:t>
      </w:r>
      <w:r w:rsidR="00B8484C">
        <w:t xml:space="preserve">Sol </w:t>
      </w:r>
      <w:r>
        <w:t>(</w:t>
      </w:r>
      <w:r w:rsidRPr="00F06CE8">
        <w:t>1978</w:t>
      </w:r>
      <w:r>
        <w:t>):</w:t>
      </w:r>
      <w:r w:rsidRPr="00F06CE8">
        <w:t xml:space="preserve"> </w:t>
      </w:r>
      <w:r w:rsidRPr="00F06CE8">
        <w:rPr>
          <w:i/>
          <w:iCs/>
        </w:rPr>
        <w:t>Einführung in die jiddische Literatur</w:t>
      </w:r>
      <w:r w:rsidRPr="00F06CE8">
        <w:t>. Stuttgart: Metzler.</w:t>
      </w:r>
    </w:p>
    <w:p w:rsidR="00F06CE8" w:rsidRPr="00361CC4" w:rsidRDefault="00F06CE8" w:rsidP="00F06CE8">
      <w:pPr>
        <w:pStyle w:val="Literaturverzeichnis1"/>
      </w:pPr>
      <w:r w:rsidRPr="00F06CE8">
        <w:t>Foucault, Michel</w:t>
      </w:r>
      <w:r w:rsidR="00B541BE">
        <w:t xml:space="preserve"> (</w:t>
      </w:r>
      <w:r w:rsidRPr="00F06CE8">
        <w:t>2005</w:t>
      </w:r>
      <w:r w:rsidR="00B541BE">
        <w:t>):</w:t>
      </w:r>
      <w:r w:rsidRPr="00F06CE8">
        <w:t xml:space="preserve"> </w:t>
      </w:r>
      <w:r w:rsidRPr="00F06CE8">
        <w:rPr>
          <w:i/>
          <w:iCs/>
        </w:rPr>
        <w:t>Die Heterotopien/Der utopische Körper. Zwei Radiovorträge</w:t>
      </w:r>
      <w:r w:rsidRPr="00F06CE8">
        <w:t xml:space="preserve">. </w:t>
      </w:r>
      <w:r w:rsidRPr="00361CC4">
        <w:t>Frankfurt am Main: Suhrkamp.</w:t>
      </w:r>
    </w:p>
    <w:p w:rsidR="00F06CE8" w:rsidRPr="00F06CE8" w:rsidRDefault="00B8484C" w:rsidP="00F06CE8">
      <w:pPr>
        <w:pStyle w:val="Literaturverzeichnis1"/>
        <w:rPr>
          <w:lang w:val="en-US"/>
        </w:rPr>
      </w:pPr>
      <w:r>
        <w:rPr>
          <w:lang w:val="en-US"/>
        </w:rPr>
        <w:t xml:space="preserve">Gross, Andrew S./Rohr, </w:t>
      </w:r>
      <w:r w:rsidR="00F06CE8" w:rsidRPr="00F06CE8">
        <w:rPr>
          <w:lang w:val="en-US"/>
        </w:rPr>
        <w:t xml:space="preserve">Susanne </w:t>
      </w:r>
      <w:r w:rsidR="00B541BE">
        <w:rPr>
          <w:lang w:val="en-US"/>
        </w:rPr>
        <w:t>(</w:t>
      </w:r>
      <w:r w:rsidR="00F06CE8" w:rsidRPr="00F06CE8">
        <w:rPr>
          <w:lang w:val="en-US"/>
        </w:rPr>
        <w:t>2010</w:t>
      </w:r>
      <w:r w:rsidR="00B541BE">
        <w:rPr>
          <w:lang w:val="en-US"/>
        </w:rPr>
        <w:t>):</w:t>
      </w:r>
      <w:r w:rsidR="00F06CE8" w:rsidRPr="00F06CE8">
        <w:rPr>
          <w:lang w:val="en-US"/>
        </w:rPr>
        <w:t xml:space="preserve"> </w:t>
      </w:r>
      <w:r w:rsidR="00F06CE8" w:rsidRPr="00F06CE8">
        <w:rPr>
          <w:i/>
          <w:iCs/>
          <w:lang w:val="en-US"/>
        </w:rPr>
        <w:t>Comedy - Avant-Garde - Scandal: Remembering the Holocaust after the End of History</w:t>
      </w:r>
      <w:r w:rsidR="00F06CE8" w:rsidRPr="00F06CE8">
        <w:rPr>
          <w:lang w:val="en-US"/>
        </w:rPr>
        <w:t>. Heidelberg: Universitätsverlag Winter.</w:t>
      </w:r>
    </w:p>
    <w:p w:rsidR="00F06CE8" w:rsidRPr="00F06CE8" w:rsidRDefault="00F06CE8" w:rsidP="00F06CE8">
      <w:pPr>
        <w:pStyle w:val="Literaturverzeichnis1"/>
        <w:rPr>
          <w:lang w:val="en-US"/>
        </w:rPr>
      </w:pPr>
      <w:r w:rsidRPr="00F06CE8">
        <w:rPr>
          <w:lang w:val="en-US"/>
        </w:rPr>
        <w:t xml:space="preserve">Hoffman, Eva </w:t>
      </w:r>
      <w:r w:rsidR="00B541BE">
        <w:rPr>
          <w:lang w:val="en-US"/>
        </w:rPr>
        <w:t>(</w:t>
      </w:r>
      <w:r w:rsidRPr="00F06CE8">
        <w:rPr>
          <w:lang w:val="en-US"/>
        </w:rPr>
        <w:t>1997</w:t>
      </w:r>
      <w:r w:rsidR="00B541BE">
        <w:rPr>
          <w:lang w:val="en-US"/>
        </w:rPr>
        <w:t>):</w:t>
      </w:r>
      <w:r w:rsidRPr="00F06CE8">
        <w:rPr>
          <w:lang w:val="en-US"/>
        </w:rPr>
        <w:t xml:space="preserve"> </w:t>
      </w:r>
      <w:r w:rsidRPr="00F06CE8">
        <w:rPr>
          <w:i/>
          <w:iCs/>
          <w:lang w:val="en-US"/>
        </w:rPr>
        <w:t>Shtetl. The life and death of a small town and the world  of Polish Jews</w:t>
      </w:r>
      <w:r w:rsidRPr="00F06CE8">
        <w:rPr>
          <w:lang w:val="en-US"/>
        </w:rPr>
        <w:t>. Boston: Houghton Mifflin.</w:t>
      </w:r>
    </w:p>
    <w:p w:rsidR="00F06CE8" w:rsidRPr="00F06CE8" w:rsidRDefault="00F06CE8" w:rsidP="00F06CE8">
      <w:pPr>
        <w:pStyle w:val="Literaturverzeichnis1"/>
        <w:rPr>
          <w:lang w:val="en-US"/>
        </w:rPr>
      </w:pPr>
      <w:r w:rsidRPr="00F06CE8">
        <w:rPr>
          <w:lang w:val="en-US"/>
        </w:rPr>
        <w:t xml:space="preserve">Jewison, Norman </w:t>
      </w:r>
      <w:r w:rsidR="00B541BE">
        <w:rPr>
          <w:lang w:val="en-US"/>
        </w:rPr>
        <w:t>(</w:t>
      </w:r>
      <w:r w:rsidRPr="00F06CE8">
        <w:rPr>
          <w:lang w:val="en-US"/>
        </w:rPr>
        <w:t>2008</w:t>
      </w:r>
      <w:r w:rsidR="00B541BE">
        <w:rPr>
          <w:lang w:val="en-US"/>
        </w:rPr>
        <w:t>):</w:t>
      </w:r>
      <w:r w:rsidRPr="00F06CE8">
        <w:rPr>
          <w:lang w:val="en-US"/>
        </w:rPr>
        <w:t xml:space="preserve"> </w:t>
      </w:r>
      <w:r w:rsidRPr="00F06CE8">
        <w:rPr>
          <w:i/>
          <w:iCs/>
          <w:lang w:val="en-US"/>
        </w:rPr>
        <w:t>Anatevka</w:t>
      </w:r>
      <w:r w:rsidRPr="00F06CE8">
        <w:rPr>
          <w:lang w:val="en-US"/>
        </w:rPr>
        <w:t>.</w:t>
      </w:r>
    </w:p>
    <w:p w:rsidR="00F06CE8" w:rsidRPr="00F06CE8" w:rsidRDefault="00F06CE8" w:rsidP="00F06CE8">
      <w:pPr>
        <w:pStyle w:val="Literaturverzeichnis1"/>
        <w:rPr>
          <w:lang w:val="en-US"/>
        </w:rPr>
      </w:pPr>
      <w:r w:rsidRPr="00F06CE8">
        <w:rPr>
          <w:lang w:val="en-US"/>
        </w:rPr>
        <w:t>Katz, Steven</w:t>
      </w:r>
      <w:r w:rsidR="00B541BE">
        <w:rPr>
          <w:lang w:val="en-US"/>
        </w:rPr>
        <w:t xml:space="preserve"> (Hg.)</w:t>
      </w:r>
      <w:r w:rsidRPr="00F06CE8">
        <w:rPr>
          <w:lang w:val="en-US"/>
        </w:rPr>
        <w:t xml:space="preserve"> </w:t>
      </w:r>
      <w:r w:rsidR="00B541BE">
        <w:rPr>
          <w:lang w:val="en-US"/>
        </w:rPr>
        <w:t>(</w:t>
      </w:r>
      <w:r w:rsidRPr="00F06CE8">
        <w:rPr>
          <w:lang w:val="en-US"/>
        </w:rPr>
        <w:t>2007</w:t>
      </w:r>
      <w:r w:rsidR="00B541BE">
        <w:rPr>
          <w:lang w:val="en-US"/>
        </w:rPr>
        <w:t>):</w:t>
      </w:r>
      <w:r w:rsidRPr="00F06CE8">
        <w:rPr>
          <w:lang w:val="en-US"/>
        </w:rPr>
        <w:t xml:space="preserve"> </w:t>
      </w:r>
      <w:r w:rsidRPr="00F06CE8">
        <w:rPr>
          <w:i/>
          <w:iCs/>
          <w:lang w:val="en-US"/>
        </w:rPr>
        <w:t>The Shtetl. New Evaluations</w:t>
      </w:r>
      <w:r w:rsidRPr="00F06CE8">
        <w:rPr>
          <w:lang w:val="en-US"/>
        </w:rPr>
        <w:t>. New York: New York University Press.</w:t>
      </w:r>
    </w:p>
    <w:p w:rsidR="00F06CE8" w:rsidRPr="00F06CE8" w:rsidRDefault="00F06CE8" w:rsidP="00F06CE8">
      <w:pPr>
        <w:pStyle w:val="Literaturverzeichnis1"/>
      </w:pPr>
      <w:r w:rsidRPr="00B541BE">
        <w:t xml:space="preserve">Kortmann, Géraldine </w:t>
      </w:r>
      <w:r w:rsidR="00B541BE" w:rsidRPr="00B541BE">
        <w:t>(</w:t>
      </w:r>
      <w:r w:rsidRPr="00B541BE">
        <w:t>2003</w:t>
      </w:r>
      <w:r w:rsidR="00B541BE" w:rsidRPr="00B541BE">
        <w:t>):</w:t>
      </w:r>
      <w:r w:rsidRPr="00B541BE">
        <w:t xml:space="preserve"> Das Absurde als Element der Ko</w:t>
      </w:r>
      <w:r w:rsidRPr="00F06CE8">
        <w:t xml:space="preserve">mik. Anmerkungen zum Film TRAIN DE VIE von Radu Mihaileanu. In </w:t>
      </w:r>
      <w:r w:rsidRPr="00F06CE8">
        <w:rPr>
          <w:i/>
          <w:iCs/>
        </w:rPr>
        <w:t>Lachen über Hitler - Auschwitz-Gelächter? Filmkomödie, Satire und Holocaust</w:t>
      </w:r>
      <w:r w:rsidRPr="00F06CE8">
        <w:t>, Margrit Fröhlich</w:t>
      </w:r>
      <w:r w:rsidR="00B541BE">
        <w:t xml:space="preserve"> (Hg.)</w:t>
      </w:r>
      <w:r w:rsidRPr="00F06CE8">
        <w:t>, Hanno Loewy</w:t>
      </w:r>
      <w:r w:rsidR="00B541BE">
        <w:t>(Hg.)</w:t>
      </w:r>
      <w:r w:rsidRPr="00F06CE8">
        <w:t>, Heinz Steinert</w:t>
      </w:r>
      <w:r w:rsidR="00B541BE">
        <w:t xml:space="preserve"> (Hg.)</w:t>
      </w:r>
      <w:r w:rsidRPr="00F06CE8">
        <w:t>, 293</w:t>
      </w:r>
      <w:r w:rsidR="00E13E49">
        <w:t>–</w:t>
      </w:r>
      <w:r w:rsidRPr="00F06CE8">
        <w:t>313. München: edition text+kritik.</w:t>
      </w:r>
    </w:p>
    <w:p w:rsidR="00F06CE8" w:rsidRPr="00F06CE8" w:rsidRDefault="00F06CE8" w:rsidP="00F06CE8">
      <w:pPr>
        <w:pStyle w:val="Literaturverzeichnis1"/>
      </w:pPr>
      <w:r w:rsidRPr="00F06CE8">
        <w:t xml:space="preserve">Landmann, Salcia </w:t>
      </w:r>
      <w:r w:rsidR="00B541BE">
        <w:t>(</w:t>
      </w:r>
      <w:r w:rsidRPr="00F06CE8">
        <w:t>1999</w:t>
      </w:r>
      <w:r w:rsidR="00B541BE">
        <w:t>):</w:t>
      </w:r>
      <w:r w:rsidRPr="00F06CE8">
        <w:t xml:space="preserve"> </w:t>
      </w:r>
      <w:r w:rsidR="00B541BE">
        <w:rPr>
          <w:i/>
          <w:iCs/>
        </w:rPr>
        <w:t>Der jü</w:t>
      </w:r>
      <w:r w:rsidRPr="00F06CE8">
        <w:rPr>
          <w:i/>
          <w:iCs/>
        </w:rPr>
        <w:t>dische Witz. Soziologie und Sammlung</w:t>
      </w:r>
      <w:r w:rsidRPr="00F06CE8">
        <w:t xml:space="preserve">. </w:t>
      </w:r>
      <w:r w:rsidR="00B541BE">
        <w:t>Dü</w:t>
      </w:r>
      <w:r w:rsidRPr="00F06CE8">
        <w:t>sseldorf: Patmos Verlag.</w:t>
      </w:r>
    </w:p>
    <w:p w:rsidR="00F06CE8" w:rsidRPr="00F06CE8" w:rsidRDefault="00F06CE8" w:rsidP="00F06CE8">
      <w:pPr>
        <w:pStyle w:val="Literaturverzeichnis1"/>
        <w:rPr>
          <w:lang w:val="en-US"/>
        </w:rPr>
      </w:pPr>
      <w:r w:rsidRPr="00F06CE8">
        <w:t xml:space="preserve">Mihaileanu, Radu </w:t>
      </w:r>
      <w:r w:rsidR="00B541BE">
        <w:t>(</w:t>
      </w:r>
      <w:r w:rsidRPr="00F06CE8">
        <w:t>2004</w:t>
      </w:r>
      <w:r w:rsidR="00B541BE">
        <w:t>):</w:t>
      </w:r>
      <w:r w:rsidRPr="00F06CE8">
        <w:t xml:space="preserve"> </w:t>
      </w:r>
      <w:r w:rsidRPr="00F06CE8">
        <w:rPr>
          <w:i/>
          <w:iCs/>
        </w:rPr>
        <w:t xml:space="preserve">Zug des Lebens. </w:t>
      </w:r>
      <w:r w:rsidRPr="00361CC4">
        <w:rPr>
          <w:i/>
          <w:iCs/>
          <w:lang w:val="en-US"/>
        </w:rPr>
        <w:t>Collector’s Edition</w:t>
      </w:r>
      <w:r w:rsidRPr="00361CC4">
        <w:rPr>
          <w:lang w:val="en-US"/>
        </w:rPr>
        <w:t xml:space="preserve">. </w:t>
      </w:r>
      <w:r w:rsidRPr="00F06CE8">
        <w:rPr>
          <w:lang w:val="en-US"/>
        </w:rPr>
        <w:t>Sunfilm Entertainment.</w:t>
      </w:r>
    </w:p>
    <w:p w:rsidR="00F06CE8" w:rsidRPr="00B8484C" w:rsidRDefault="00F06CE8" w:rsidP="00F06CE8">
      <w:pPr>
        <w:pStyle w:val="Literaturverzeichnis1"/>
        <w:rPr>
          <w:lang w:val="en-US"/>
        </w:rPr>
      </w:pPr>
      <w:r w:rsidRPr="00F06CE8">
        <w:rPr>
          <w:lang w:val="en-US"/>
        </w:rPr>
        <w:lastRenderedPageBreak/>
        <w:t xml:space="preserve">Pop, Doru </w:t>
      </w:r>
      <w:r w:rsidR="00B541BE">
        <w:rPr>
          <w:lang w:val="en-US"/>
        </w:rPr>
        <w:t>(</w:t>
      </w:r>
      <w:r w:rsidRPr="00F06CE8">
        <w:rPr>
          <w:lang w:val="en-US"/>
        </w:rPr>
        <w:t>2010</w:t>
      </w:r>
      <w:r w:rsidR="00B541BE">
        <w:rPr>
          <w:lang w:val="en-US"/>
        </w:rPr>
        <w:t>):</w:t>
      </w:r>
      <w:r w:rsidRPr="00F06CE8">
        <w:rPr>
          <w:lang w:val="en-US"/>
        </w:rPr>
        <w:t xml:space="preserve"> “Jewish Humor in Radu Mihaileanu’s Cinema.” </w:t>
      </w:r>
      <w:r w:rsidRPr="00B8484C">
        <w:rPr>
          <w:i/>
          <w:iCs/>
          <w:lang w:val="en-US"/>
        </w:rPr>
        <w:t>Studia Universitatis Babes-Bolyai - Studia Dramatica</w:t>
      </w:r>
      <w:r w:rsidRPr="00B8484C">
        <w:rPr>
          <w:lang w:val="en-US"/>
        </w:rPr>
        <w:t xml:space="preserve"> 1: 123</w:t>
      </w:r>
      <w:r w:rsidR="00E13E49">
        <w:rPr>
          <w:lang w:val="en-US"/>
        </w:rPr>
        <w:t>–</w:t>
      </w:r>
      <w:r w:rsidRPr="00B8484C">
        <w:rPr>
          <w:lang w:val="en-US"/>
        </w:rPr>
        <w:t>144.</w:t>
      </w:r>
    </w:p>
    <w:p w:rsidR="00F06CE8" w:rsidRPr="00F06CE8" w:rsidRDefault="00F06CE8" w:rsidP="00F06CE8">
      <w:pPr>
        <w:pStyle w:val="Literaturverzeichnis1"/>
        <w:rPr>
          <w:lang w:val="en-US"/>
        </w:rPr>
      </w:pPr>
      <w:r w:rsidRPr="00B8484C">
        <w:rPr>
          <w:lang w:val="en-US"/>
        </w:rPr>
        <w:t xml:space="preserve">Vishniac, Roman </w:t>
      </w:r>
      <w:r w:rsidR="00B541BE" w:rsidRPr="00B8484C">
        <w:rPr>
          <w:lang w:val="en-US"/>
        </w:rPr>
        <w:t>(</w:t>
      </w:r>
      <w:r w:rsidRPr="00F06CE8">
        <w:rPr>
          <w:lang w:val="en-US"/>
        </w:rPr>
        <w:t>1965</w:t>
      </w:r>
      <w:r w:rsidR="00B541BE">
        <w:rPr>
          <w:lang w:val="en-US"/>
        </w:rPr>
        <w:t>):</w:t>
      </w:r>
      <w:r w:rsidRPr="00F06CE8">
        <w:rPr>
          <w:lang w:val="en-US"/>
        </w:rPr>
        <w:t xml:space="preserve"> </w:t>
      </w:r>
      <w:r w:rsidRPr="00F06CE8">
        <w:rPr>
          <w:i/>
          <w:iCs/>
          <w:lang w:val="en-US"/>
        </w:rPr>
        <w:t>Polish Jews. A Pictorial Record</w:t>
      </w:r>
      <w:r w:rsidRPr="00F06CE8">
        <w:rPr>
          <w:lang w:val="en-US"/>
        </w:rPr>
        <w:t>. New York: Schocken Books.</w:t>
      </w:r>
    </w:p>
    <w:p w:rsidR="00F06CE8" w:rsidRPr="00F06CE8" w:rsidRDefault="00F06CE8" w:rsidP="00F06CE8">
      <w:pPr>
        <w:pStyle w:val="Literaturverzeichnis1"/>
        <w:rPr>
          <w:lang w:val="en-US"/>
        </w:rPr>
      </w:pPr>
      <w:r w:rsidRPr="00F06CE8">
        <w:rPr>
          <w:lang w:val="en-US"/>
        </w:rPr>
        <w:t xml:space="preserve">Whitfield, Stephen J. </w:t>
      </w:r>
      <w:r w:rsidR="00B541BE">
        <w:rPr>
          <w:lang w:val="en-US"/>
        </w:rPr>
        <w:t>(</w:t>
      </w:r>
      <w:r w:rsidRPr="00F06CE8">
        <w:rPr>
          <w:lang w:val="en-US"/>
        </w:rPr>
        <w:t>2003</w:t>
      </w:r>
      <w:r w:rsidR="00B541BE">
        <w:rPr>
          <w:lang w:val="en-US"/>
        </w:rPr>
        <w:t>):</w:t>
      </w:r>
      <w:r w:rsidRPr="00F06CE8">
        <w:rPr>
          <w:lang w:val="en-US"/>
        </w:rPr>
        <w:t xml:space="preserve"> Fiddling with Sholem Aleichem: A History of Fiddler on the Roof. In </w:t>
      </w:r>
      <w:r w:rsidRPr="00F06CE8">
        <w:rPr>
          <w:i/>
          <w:iCs/>
          <w:lang w:val="en-US"/>
        </w:rPr>
        <w:t>Key texts in American Jewish culture</w:t>
      </w:r>
      <w:r w:rsidRPr="00F06CE8">
        <w:rPr>
          <w:lang w:val="en-US"/>
        </w:rPr>
        <w:t>, Jack Kugelmass</w:t>
      </w:r>
      <w:r w:rsidR="00154CB3">
        <w:rPr>
          <w:lang w:val="en-US"/>
        </w:rPr>
        <w:t xml:space="preserve"> </w:t>
      </w:r>
      <w:r w:rsidR="00154CB3" w:rsidRPr="00154CB3">
        <w:rPr>
          <w:lang w:val="en-US"/>
        </w:rPr>
        <w:t>(Hg.)</w:t>
      </w:r>
      <w:r w:rsidRPr="00F06CE8">
        <w:rPr>
          <w:lang w:val="en-US"/>
        </w:rPr>
        <w:t>, 105</w:t>
      </w:r>
      <w:r w:rsidR="00E13E49">
        <w:rPr>
          <w:lang w:val="en-US"/>
        </w:rPr>
        <w:t>–</w:t>
      </w:r>
      <w:r w:rsidRPr="00F06CE8">
        <w:rPr>
          <w:lang w:val="en-US"/>
        </w:rPr>
        <w:t>125. New Bruns</w:t>
      </w:r>
      <w:r w:rsidR="00154CB3">
        <w:rPr>
          <w:lang w:val="en-US"/>
        </w:rPr>
        <w:t>wick: Rutgers University Press.</w:t>
      </w:r>
    </w:p>
    <w:p w:rsidR="00F06CE8" w:rsidRPr="00F06CE8" w:rsidRDefault="00F06CE8" w:rsidP="00F06CE8">
      <w:pPr>
        <w:pStyle w:val="Literaturverzeichnis1"/>
      </w:pPr>
      <w:r w:rsidRPr="00F06CE8">
        <w:rPr>
          <w:lang w:val="en-US"/>
        </w:rPr>
        <w:t xml:space="preserve">Wolitz, Seth L. </w:t>
      </w:r>
      <w:r w:rsidR="00154CB3">
        <w:rPr>
          <w:lang w:val="en-US"/>
        </w:rPr>
        <w:t>(</w:t>
      </w:r>
      <w:r w:rsidRPr="00F06CE8">
        <w:rPr>
          <w:lang w:val="en-US"/>
        </w:rPr>
        <w:t>1988</w:t>
      </w:r>
      <w:r w:rsidR="00154CB3">
        <w:rPr>
          <w:lang w:val="en-US"/>
        </w:rPr>
        <w:t>):</w:t>
      </w:r>
      <w:r w:rsidRPr="00F06CE8">
        <w:rPr>
          <w:lang w:val="en-US"/>
        </w:rPr>
        <w:t xml:space="preserve"> “The Americanization of Tevye or Boarding the Jewish Mayflower.” </w:t>
      </w:r>
      <w:r w:rsidRPr="00F06CE8">
        <w:rPr>
          <w:i/>
          <w:iCs/>
        </w:rPr>
        <w:t>American Quarterly</w:t>
      </w:r>
      <w:r w:rsidRPr="00F06CE8">
        <w:t xml:space="preserve"> 40 (4): 514</w:t>
      </w:r>
      <w:r w:rsidR="00E13E49">
        <w:t>–</w:t>
      </w:r>
      <w:r w:rsidRPr="00F06CE8">
        <w:t>536.</w:t>
      </w:r>
    </w:p>
    <w:p w:rsidR="00F06CE8" w:rsidRPr="00F06CE8" w:rsidRDefault="00154CB3" w:rsidP="00F06CE8">
      <w:pPr>
        <w:pStyle w:val="Literaturverzeichnis1"/>
      </w:pPr>
      <w:r>
        <w:t>Zborowski, Mark/</w:t>
      </w:r>
      <w:r w:rsidR="00F06CE8" w:rsidRPr="00F06CE8">
        <w:t>Herzog</w:t>
      </w:r>
      <w:r>
        <w:t>,</w:t>
      </w:r>
      <w:r w:rsidRPr="00154CB3">
        <w:t xml:space="preserve"> </w:t>
      </w:r>
      <w:r>
        <w:t>Elis</w:t>
      </w:r>
      <w:r w:rsidRPr="00F06CE8">
        <w:t>abeth</w:t>
      </w:r>
      <w:r w:rsidR="00F06CE8" w:rsidRPr="00F06CE8">
        <w:t xml:space="preserve"> </w:t>
      </w:r>
      <w:r>
        <w:t>(</w:t>
      </w:r>
      <w:r w:rsidR="00F06CE8" w:rsidRPr="00F06CE8">
        <w:t>1991</w:t>
      </w:r>
      <w:r>
        <w:t>):</w:t>
      </w:r>
      <w:r w:rsidR="00F06CE8" w:rsidRPr="00F06CE8">
        <w:t xml:space="preserve"> </w:t>
      </w:r>
      <w:r w:rsidR="00F06CE8" w:rsidRPr="00F06CE8">
        <w:rPr>
          <w:i/>
          <w:iCs/>
        </w:rPr>
        <w:t>Das Schtetl. Die untergegangene Welt der osteuropäischen Juden</w:t>
      </w:r>
      <w:r w:rsidR="00F06CE8" w:rsidRPr="00F06CE8">
        <w:t>. München: Beck.</w:t>
      </w:r>
    </w:p>
    <w:p w:rsidR="00DA0F50" w:rsidRPr="00224AF7" w:rsidRDefault="00DA0F50">
      <w:pPr>
        <w:jc w:val="both"/>
      </w:pPr>
    </w:p>
    <w:sectPr w:rsidR="00DA0F50" w:rsidRPr="00224AF7" w:rsidSect="002243D0">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8166E" w:rsidRDefault="00D8166E" w:rsidP="00727642">
      <w:r>
        <w:separator/>
      </w:r>
    </w:p>
  </w:endnote>
  <w:endnote w:type="continuationSeparator" w:id="0">
    <w:p w:rsidR="00D8166E" w:rsidRDefault="00D8166E" w:rsidP="007276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8166E" w:rsidRDefault="00D8166E" w:rsidP="00727642">
      <w:r>
        <w:separator/>
      </w:r>
    </w:p>
  </w:footnote>
  <w:footnote w:type="continuationSeparator" w:id="0">
    <w:p w:rsidR="00D8166E" w:rsidRDefault="00D8166E" w:rsidP="00727642">
      <w:r>
        <w:continuationSeparator/>
      </w:r>
    </w:p>
  </w:footnote>
  <w:footnote w:id="1">
    <w:p w:rsidR="005F3FCD" w:rsidRDefault="005F3FCD">
      <w:pPr>
        <w:pStyle w:val="Notedebasdepage"/>
      </w:pPr>
      <w:r>
        <w:rPr>
          <w:rStyle w:val="Appelnotedebasdep"/>
        </w:rPr>
        <w:footnoteRef/>
      </w:r>
      <w:r>
        <w:t xml:space="preserve"> Alle Analysen beziehen sich auf die DVD </w:t>
      </w:r>
      <w:r w:rsidRPr="005F3FCD">
        <w:t>(Mihaileanu 2004)</w:t>
      </w:r>
      <w:r>
        <w:t>.</w:t>
      </w:r>
    </w:p>
  </w:footnote>
  <w:footnote w:id="2">
    <w:p w:rsidR="00727642" w:rsidRDefault="00727642" w:rsidP="000C4E4F">
      <w:pPr>
        <w:pStyle w:val="Notedebasdepage"/>
        <w:jc w:val="both"/>
      </w:pPr>
      <w:r>
        <w:rPr>
          <w:rStyle w:val="Appelnotedebasdep"/>
        </w:rPr>
        <w:footnoteRef/>
      </w:r>
      <w:r>
        <w:t xml:space="preserve"> Vgl. Niklas Holzbergs Erläuterungen</w:t>
      </w:r>
      <w:r w:rsidR="0086358C">
        <w:t xml:space="preserve"> zum Modell in seiner Lysistrate-</w:t>
      </w:r>
      <w:r>
        <w:t>Übersetzung</w:t>
      </w:r>
      <w:r w:rsidR="00C0395B">
        <w:t xml:space="preserve"> </w:t>
      </w:r>
      <w:r w:rsidRPr="00727642">
        <w:t>(Aristophanes 2009)</w:t>
      </w:r>
      <w:r>
        <w:t>.</w:t>
      </w:r>
    </w:p>
  </w:footnote>
  <w:footnote w:id="3">
    <w:p w:rsidR="00254D77" w:rsidRDefault="00254D77" w:rsidP="000C4E4F">
      <w:pPr>
        <w:pStyle w:val="Notedebasdepage"/>
        <w:jc w:val="both"/>
      </w:pPr>
      <w:r>
        <w:rPr>
          <w:rStyle w:val="Appelnotedebasdep"/>
        </w:rPr>
        <w:footnoteRef/>
      </w:r>
      <w:r>
        <w:t xml:space="preserve"> </w:t>
      </w:r>
      <w:r w:rsidR="00702742">
        <w:t xml:space="preserve">Ich benutze den Begriff ahistorisch im Sinne von „jüdisches </w:t>
      </w:r>
      <w:r w:rsidR="00702742" w:rsidRPr="00702742">
        <w:rPr>
          <w:b/>
        </w:rPr>
        <w:t>Dorf</w:t>
      </w:r>
      <w:r w:rsidR="00702742">
        <w:t xml:space="preserve"> in Osteuropa“. Diesen Eindruck vermitteln </w:t>
      </w:r>
      <w:r w:rsidR="00702742" w:rsidRPr="007D49A2">
        <w:rPr>
          <w:i/>
        </w:rPr>
        <w:t>Train de vie</w:t>
      </w:r>
      <w:r w:rsidR="00702742">
        <w:t xml:space="preserve"> und </w:t>
      </w:r>
      <w:r w:rsidR="00702742" w:rsidRPr="00702742">
        <w:rPr>
          <w:i/>
        </w:rPr>
        <w:t>Fiddler on the Roof</w:t>
      </w:r>
      <w:r w:rsidR="00702742">
        <w:t>. Bei den Schtetlach handelt es s</w:t>
      </w:r>
      <w:r w:rsidR="008472D9">
        <w:t>ich eher um Kleinstadtgemeinden</w:t>
      </w:r>
      <w:r w:rsidR="00F35D29">
        <w:t xml:space="preserve"> –</w:t>
      </w:r>
      <w:r w:rsidR="008472D9">
        <w:t xml:space="preserve"> </w:t>
      </w:r>
      <w:r w:rsidR="007400D8">
        <w:t>d</w:t>
      </w:r>
      <w:r w:rsidR="008472D9">
        <w:t>arauf deutet</w:t>
      </w:r>
      <w:r w:rsidR="00702742">
        <w:t xml:space="preserve"> der jiddische </w:t>
      </w:r>
      <w:r w:rsidR="008472D9">
        <w:t>Begriff</w:t>
      </w:r>
      <w:r w:rsidR="007400D8">
        <w:t xml:space="preserve"> hin</w:t>
      </w:r>
      <w:r w:rsidR="008472D9">
        <w:t xml:space="preserve">, der </w:t>
      </w:r>
      <w:r w:rsidR="00702742">
        <w:t xml:space="preserve">verwandt </w:t>
      </w:r>
      <w:r w:rsidR="008472D9">
        <w:t xml:space="preserve">ist </w:t>
      </w:r>
      <w:r w:rsidR="00702742">
        <w:t xml:space="preserve">mit dem deutschen </w:t>
      </w:r>
      <w:r w:rsidR="008472D9">
        <w:t>„</w:t>
      </w:r>
      <w:r w:rsidR="00702742">
        <w:t>Städtchen</w:t>
      </w:r>
      <w:r w:rsidR="008472D9">
        <w:t>“</w:t>
      </w:r>
      <w:r w:rsidR="00F35D29">
        <w:t xml:space="preserve"> –, mit bedeutendem jüdischem Bevölkerungsanteil, aber geprägt durch ihre Mult</w:t>
      </w:r>
      <w:r w:rsidR="007400D8">
        <w:t>i</w:t>
      </w:r>
      <w:r w:rsidR="00F35D29">
        <w:t>kulturalität</w:t>
      </w:r>
      <w:r w:rsidR="00702742">
        <w:t xml:space="preserve">. </w:t>
      </w:r>
      <w:r w:rsidR="000E7978">
        <w:t xml:space="preserve">Das Standardwerk zur </w:t>
      </w:r>
      <w:r w:rsidR="00CF19B9">
        <w:t>Anthrop</w:t>
      </w:r>
      <w:r w:rsidR="000E7978">
        <w:t xml:space="preserve">ologie dieser untergegangenen Welt ist immer noch </w:t>
      </w:r>
      <w:r w:rsidR="000E7978" w:rsidRPr="000E7978">
        <w:t xml:space="preserve">(Zborowski </w:t>
      </w:r>
      <w:r w:rsidR="00361CC4">
        <w:t>und</w:t>
      </w:r>
      <w:r w:rsidR="000E7978" w:rsidRPr="000E7978">
        <w:t xml:space="preserve"> Herzog 1991)</w:t>
      </w:r>
      <w:r w:rsidR="000E7978">
        <w:t>, im Original (</w:t>
      </w:r>
      <w:r w:rsidR="000E7978" w:rsidRPr="000E7978">
        <w:rPr>
          <w:i/>
        </w:rPr>
        <w:t>Life is with people</w:t>
      </w:r>
      <w:r w:rsidR="000E7978">
        <w:t xml:space="preserve">) von 1951, wenn auch inzwischen ergänzt </w:t>
      </w:r>
      <w:r w:rsidR="00D02F36">
        <w:t xml:space="preserve">durch </w:t>
      </w:r>
      <w:r w:rsidR="00D02F36" w:rsidRPr="00D02F36">
        <w:t>(Hoffman 1997)</w:t>
      </w:r>
      <w:r w:rsidR="00170715">
        <w:t xml:space="preserve">, die </w:t>
      </w:r>
      <w:r w:rsidR="009B5A2D">
        <w:t>das zeitlose</w:t>
      </w:r>
      <w:r w:rsidR="00170715">
        <w:t xml:space="preserve"> Bild einer </w:t>
      </w:r>
      <w:r w:rsidR="00C24D4A">
        <w:t>homogen</w:t>
      </w:r>
      <w:r w:rsidR="0028778E">
        <w:t>en</w:t>
      </w:r>
      <w:r w:rsidR="00C24D4A">
        <w:t xml:space="preserve"> jüdischen </w:t>
      </w:r>
      <w:r w:rsidR="009B5A2D">
        <w:t xml:space="preserve">Welt </w:t>
      </w:r>
      <w:r w:rsidR="00C24D4A">
        <w:t xml:space="preserve">um die </w:t>
      </w:r>
      <w:r w:rsidR="009B5A2D">
        <w:t xml:space="preserve">historische sowie </w:t>
      </w:r>
      <w:r w:rsidR="005E0BB8">
        <w:t xml:space="preserve">multikulturelle </w:t>
      </w:r>
      <w:r w:rsidR="00C24D4A">
        <w:t>Perspektive er</w:t>
      </w:r>
      <w:r w:rsidR="009B5A2D">
        <w:t>weitert</w:t>
      </w:r>
      <w:r w:rsidR="00CF19B9">
        <w:t>.</w:t>
      </w:r>
      <w:r w:rsidR="0074105A">
        <w:t xml:space="preserve"> In</w:t>
      </w:r>
      <w:r w:rsidR="00CF19B9">
        <w:t xml:space="preserve"> </w:t>
      </w:r>
      <w:r w:rsidR="0074105A" w:rsidRPr="007D49A2">
        <w:rPr>
          <w:i/>
        </w:rPr>
        <w:t>Train de vie</w:t>
      </w:r>
      <w:r w:rsidR="0074105A">
        <w:t xml:space="preserve"> erleben wir die Abenteuer einer dörflichen und rein jüdischen Gemeinschaft. Da es mir um Phänomene der Repräsentation geht, also um das Nachleben in Film und Literatur und nicht um historiographische Beschreibung, </w:t>
      </w:r>
      <w:r w:rsidR="00EE33CB">
        <w:t xml:space="preserve">nenne ich „Schtetl“, </w:t>
      </w:r>
      <w:r w:rsidR="0074105A">
        <w:t xml:space="preserve">was der Erzähler Schlomo im Film auch </w:t>
      </w:r>
      <w:r w:rsidR="00EE33CB">
        <w:t>so</w:t>
      </w:r>
      <w:r w:rsidR="0074105A">
        <w:t xml:space="preserve"> nennt.</w:t>
      </w:r>
    </w:p>
  </w:footnote>
  <w:footnote w:id="4">
    <w:p w:rsidR="00207853" w:rsidRDefault="00207853" w:rsidP="000C4E4F">
      <w:pPr>
        <w:pStyle w:val="Notedebasdepage"/>
        <w:jc w:val="both"/>
      </w:pPr>
      <w:r>
        <w:rPr>
          <w:rStyle w:val="Appelnotedebasdep"/>
        </w:rPr>
        <w:footnoteRef/>
      </w:r>
      <w:r>
        <w:t xml:space="preserve"> Bei den Namen </w:t>
      </w:r>
      <w:r w:rsidR="0028778E">
        <w:t>orientiere</w:t>
      </w:r>
      <w:r>
        <w:t xml:space="preserve"> ich </w:t>
      </w:r>
      <w:r w:rsidR="0028778E">
        <w:t xml:space="preserve">mich </w:t>
      </w:r>
      <w:r>
        <w:t xml:space="preserve">durchgängig </w:t>
      </w:r>
      <w:r w:rsidR="0028778E">
        <w:t>an den</w:t>
      </w:r>
      <w:r>
        <w:t xml:space="preserve"> (meist französische</w:t>
      </w:r>
      <w:r w:rsidR="0028778E">
        <w:t>n</w:t>
      </w:r>
      <w:r>
        <w:t>) Schreibweise</w:t>
      </w:r>
      <w:r w:rsidR="0028778E">
        <w:t>n</w:t>
      </w:r>
      <w:r>
        <w:t>, wie sie der Film im Abspann verwendet.</w:t>
      </w:r>
    </w:p>
  </w:footnote>
  <w:footnote w:id="5">
    <w:p w:rsidR="00D620EF" w:rsidRDefault="00D620EF" w:rsidP="000C4E4F">
      <w:pPr>
        <w:pStyle w:val="Notedebasdepage"/>
        <w:jc w:val="both"/>
      </w:pPr>
      <w:r>
        <w:rPr>
          <w:rStyle w:val="Appelnotedebasdep"/>
        </w:rPr>
        <w:footnoteRef/>
      </w:r>
      <w:r>
        <w:t xml:space="preserve"> Der Anfang der </w:t>
      </w:r>
      <w:r w:rsidR="009F2836">
        <w:t>Konzert-</w:t>
      </w:r>
      <w:r>
        <w:t>Szene ist leicht zu bestimmen: Von den Beratungen im dunklen Innern wird auf den sonnigen Dorfplatz geschnitten. Auch auf der Tonspur ist der Wechsel</w:t>
      </w:r>
      <w:r w:rsidR="00945EF8">
        <w:t xml:space="preserve"> nicht zu überhören: Stimmengewirr bei der Wahl Mordechais zum SS-Kommandanten, ohne Musik</w:t>
      </w:r>
      <w:r w:rsidR="00F07259">
        <w:t>,</w:t>
      </w:r>
      <w:r w:rsidR="00945EF8">
        <w:t xml:space="preserve"> wird abgelöst durch den ersten Streich auf der Geige</w:t>
      </w:r>
      <w:r w:rsidR="00D82A66">
        <w:t>, in den weitere Instrumente einstimmen.</w:t>
      </w:r>
      <w:r w:rsidR="00945EF8">
        <w:t xml:space="preserve"> </w:t>
      </w:r>
      <w:r w:rsidR="005D2661">
        <w:t>Als „Vorbereitungsszene“ könnte man die Sequenz auffassen bis zum le</w:t>
      </w:r>
      <w:r w:rsidR="00522A4A">
        <w:t>t</w:t>
      </w:r>
      <w:r w:rsidR="005D2661">
        <w:t>zten Akkord des Stücks (16:13)</w:t>
      </w:r>
      <w:r w:rsidR="00F07259">
        <w:t>,</w:t>
      </w:r>
      <w:r w:rsidR="005D2661">
        <w:t xml:space="preserve"> damit ist auch der </w:t>
      </w:r>
      <w:r w:rsidR="00F07259">
        <w:t xml:space="preserve">erste </w:t>
      </w:r>
      <w:r w:rsidR="005D2661">
        <w:t>Tag der allgemeinen Vorbereitungen des S</w:t>
      </w:r>
      <w:r w:rsidR="00F07259">
        <w:t>ch</w:t>
      </w:r>
      <w:r w:rsidR="005D2661">
        <w:t xml:space="preserve">tetls </w:t>
      </w:r>
      <w:r w:rsidR="00F07259">
        <w:t>für</w:t>
      </w:r>
      <w:r w:rsidR="005D2661">
        <w:t xml:space="preserve"> die Flucht abgeschlossen und ein Schnitt f</w:t>
      </w:r>
      <w:r w:rsidR="00522A4A">
        <w:t>ü</w:t>
      </w:r>
      <w:r w:rsidR="005D2661">
        <w:t>h</w:t>
      </w:r>
      <w:r w:rsidR="00F07259">
        <w:t>r</w:t>
      </w:r>
      <w:r w:rsidR="005D2661">
        <w:t xml:space="preserve">t wieder in einen dunklen Raum, </w:t>
      </w:r>
      <w:r w:rsidR="00034250">
        <w:t>in dem der Rabbi einen Brief schreibt</w:t>
      </w:r>
      <w:r w:rsidR="005D2661">
        <w:t>. Hierbei würden mehrere Szene</w:t>
      </w:r>
      <w:r w:rsidR="00034250">
        <w:t>n</w:t>
      </w:r>
      <w:r w:rsidR="005D2661">
        <w:t xml:space="preserve"> zusammengefasst: das Konzert</w:t>
      </w:r>
      <w:r w:rsidR="00D17CFD">
        <w:t>, Mordechais Inspektion, die</w:t>
      </w:r>
      <w:r w:rsidR="005D2661">
        <w:t xml:space="preserve"> Szene im Badehaus, </w:t>
      </w:r>
      <w:r w:rsidR="00D17CFD">
        <w:t xml:space="preserve">die </w:t>
      </w:r>
      <w:r w:rsidR="005D2661">
        <w:t xml:space="preserve">Konfrontation von Esther und Yossi, </w:t>
      </w:r>
      <w:r w:rsidR="00D17CFD">
        <w:t xml:space="preserve">die </w:t>
      </w:r>
      <w:r w:rsidR="005D2661">
        <w:t xml:space="preserve">Abgabe der Wertsachen, </w:t>
      </w:r>
      <w:r w:rsidR="00D17CFD">
        <w:t xml:space="preserve">der </w:t>
      </w:r>
      <w:r w:rsidR="005D2661">
        <w:t>Verkauf auf dem Markt. Um meinen Punkt zu zeigen, reicht das Konzert; der Rest der Sequenz funktioniert analog.</w:t>
      </w:r>
    </w:p>
    <w:p w:rsidR="00D17CFD" w:rsidRDefault="00A03EC0" w:rsidP="000C4E4F">
      <w:pPr>
        <w:pStyle w:val="Notedebasdepage"/>
        <w:jc w:val="both"/>
      </w:pPr>
      <w:r>
        <w:t>Das Ende ist schwieriger festzulegen, da Musik und Bild keine gemeinsamen Signale senden. Die Musik lässt langsam nach, um schließlich bei Mordechais Inspektion ganz zu verstummen. Spätestens hier endet der Abschnitt, de</w:t>
      </w:r>
      <w:r w:rsidR="00012193">
        <w:t>m</w:t>
      </w:r>
      <w:r>
        <w:t xml:space="preserve"> ich hier besondere Aufmerksamkeit schenke.</w:t>
      </w:r>
    </w:p>
    <w:p w:rsidR="005233F0" w:rsidRDefault="00DC719C" w:rsidP="000C4E4F">
      <w:pPr>
        <w:pStyle w:val="Notedebasdepage"/>
        <w:jc w:val="both"/>
      </w:pPr>
      <w:r>
        <w:t>Der Film sträubt sich gegen die ordentliche analytische Trennung</w:t>
      </w:r>
      <w:r w:rsidR="005233F0">
        <w:t xml:space="preserve"> einzelne</w:t>
      </w:r>
      <w:r>
        <w:t>r</w:t>
      </w:r>
      <w:r w:rsidR="005233F0">
        <w:t xml:space="preserve"> </w:t>
      </w:r>
      <w:r>
        <w:t xml:space="preserve">Szenen </w:t>
      </w:r>
      <w:r w:rsidR="005233F0">
        <w:t>bzw</w:t>
      </w:r>
      <w:r>
        <w:t>.</w:t>
      </w:r>
      <w:r w:rsidRPr="00DC719C">
        <w:t xml:space="preserve"> </w:t>
      </w:r>
      <w:r>
        <w:t>Sequenzen</w:t>
      </w:r>
      <w:r w:rsidR="005233F0">
        <w:t xml:space="preserve">. Hierin zeigt sich, wie schon angedeutet, das </w:t>
      </w:r>
      <w:r w:rsidR="00EB6E77">
        <w:t>Konstruktionsprinzip von Mihaileanus Komödie</w:t>
      </w:r>
      <w:r w:rsidR="00012193">
        <w:t>:</w:t>
      </w:r>
      <w:r w:rsidR="005233F0">
        <w:t xml:space="preserve"> aus disparaten</w:t>
      </w:r>
      <w:r w:rsidR="00EB6E77">
        <w:t xml:space="preserve"> Teilen wird ein Ganzes geschmiedet, die einzelnen Teil</w:t>
      </w:r>
      <w:r w:rsidR="00976F01">
        <w:t>e</w:t>
      </w:r>
      <w:r w:rsidR="00EB6E77">
        <w:t xml:space="preserve"> durchbrechen aber immer wieder die Einheit und lassen den Erzählstrang ausf</w:t>
      </w:r>
      <w:r w:rsidR="00012193">
        <w:t>ranze</w:t>
      </w:r>
      <w:r w:rsidR="00EB6E77">
        <w:t>n.</w:t>
      </w:r>
    </w:p>
  </w:footnote>
  <w:footnote w:id="6">
    <w:p w:rsidR="00D82A66" w:rsidRDefault="00D82A66" w:rsidP="000C4E4F">
      <w:pPr>
        <w:pStyle w:val="Notedebasdepage"/>
        <w:jc w:val="both"/>
      </w:pPr>
      <w:r>
        <w:rPr>
          <w:rStyle w:val="Appelnotedebasdep"/>
        </w:rPr>
        <w:footnoteRef/>
      </w:r>
      <w:r>
        <w:t xml:space="preserve"> Verantwortlich für den Soundtrack zeichnet </w:t>
      </w:r>
      <w:r w:rsidR="009509DD">
        <w:t>Goran Bregovi</w:t>
      </w:r>
      <w:r w:rsidR="00182FE1">
        <w:t>ć, der für seine Arrangements</w:t>
      </w:r>
      <w:r w:rsidR="00276006">
        <w:t xml:space="preserve"> bekannte Klezmorim gewinnen konnte.</w:t>
      </w:r>
    </w:p>
  </w:footnote>
  <w:footnote w:id="7">
    <w:p w:rsidR="00D91FCF" w:rsidRDefault="00D91FCF" w:rsidP="000C4E4F">
      <w:pPr>
        <w:pStyle w:val="Notedebasdepage"/>
        <w:jc w:val="both"/>
      </w:pPr>
      <w:r>
        <w:rPr>
          <w:rStyle w:val="Appelnotedebasdep"/>
        </w:rPr>
        <w:footnoteRef/>
      </w:r>
      <w:r>
        <w:t xml:space="preserve"> Sicher müsste dabei die Intensität jenseits des zentralen Platzes geringer sein. Das ignoriere ich als zu pedantische Forderung nach plausiblem Realismus.</w:t>
      </w:r>
      <w:r w:rsidR="000507D5">
        <w:t xml:space="preserve"> Zudem ist die Musik nicht mehr als diegetisch anzusehen, wenn</w:t>
      </w:r>
      <w:r w:rsidR="00205B95">
        <w:t xml:space="preserve"> man den vollständigen ersten Vorbereitungstag analysiert. Die Gruppe wird schließlich nicht den ganzen Tag ihr Stück spielen</w:t>
      </w:r>
      <w:r w:rsidR="00976F01">
        <w:t>,</w:t>
      </w:r>
      <w:r w:rsidR="00205B95">
        <w:t xml:space="preserve"> und auch auf dem Dorfplatz sind sie z.B. bei der Abgabe der Wertsachen nicht mehr zu sehen.</w:t>
      </w:r>
      <w:r w:rsidR="00976F01">
        <w:t xml:space="preserve"> Diese Inkonsistenz zeugt erneut von </w:t>
      </w:r>
      <w:r w:rsidR="005F4087">
        <w:t>der widerborstigen</w:t>
      </w:r>
      <w:r w:rsidR="00976F01">
        <w:t xml:space="preserve"> Komplexität des Films, der sich unter einer scheinbar glatten Oberfläche als sehr ruppig erweist gegenüber jedem Versuch, ihn einer einheitlichen Logik zu unterwerfen.</w:t>
      </w:r>
    </w:p>
  </w:footnote>
  <w:footnote w:id="8">
    <w:p w:rsidR="006801BB" w:rsidRDefault="006801BB" w:rsidP="000C4E4F">
      <w:pPr>
        <w:pStyle w:val="Notedebasdepage"/>
        <w:jc w:val="both"/>
      </w:pPr>
      <w:r>
        <w:rPr>
          <w:rStyle w:val="Appelnotedebasdep"/>
        </w:rPr>
        <w:footnoteRef/>
      </w:r>
      <w:r>
        <w:t xml:space="preserve"> </w:t>
      </w:r>
      <w:r w:rsidR="00655C84">
        <w:t xml:space="preserve">Zu aktuellen Perspektiven auf Historiographie sowie Repräsentation des Schtetls vgl. </w:t>
      </w:r>
      <w:r w:rsidR="00CE456C" w:rsidRPr="00CE456C">
        <w:t>(Katz 2007)</w:t>
      </w:r>
      <w:r w:rsidR="00CE456C">
        <w:t>.</w:t>
      </w:r>
    </w:p>
  </w:footnote>
  <w:footnote w:id="9">
    <w:p w:rsidR="00EC7112" w:rsidRDefault="00EC7112" w:rsidP="000C4E4F">
      <w:pPr>
        <w:pStyle w:val="Notedebasdepage"/>
        <w:jc w:val="both"/>
      </w:pPr>
      <w:r>
        <w:rPr>
          <w:rStyle w:val="Appelnotedebasdep"/>
        </w:rPr>
        <w:footnoteRef/>
      </w:r>
      <w:r>
        <w:t xml:space="preserve"> </w:t>
      </w:r>
      <w:r w:rsidR="0005477F">
        <w:t xml:space="preserve">Das Musical von </w:t>
      </w:r>
      <w:hyperlink r:id="rId1" w:tooltip="Joseph Stein" w:history="1">
        <w:r w:rsidRPr="00EC7112">
          <w:t>Joseph Stein</w:t>
        </w:r>
      </w:hyperlink>
      <w:r>
        <w:t xml:space="preserve"> (Buch), </w:t>
      </w:r>
      <w:hyperlink r:id="rId2" w:tooltip="Jerry Bock" w:history="1">
        <w:r w:rsidRPr="00EC7112">
          <w:t>Jerry Bock</w:t>
        </w:r>
      </w:hyperlink>
      <w:r>
        <w:t xml:space="preserve"> (Musik) und </w:t>
      </w:r>
      <w:hyperlink r:id="rId3" w:tooltip="Sheldon Harnick (Seite nicht vorhanden)" w:history="1">
        <w:r w:rsidRPr="00EC7112">
          <w:t>Sheldon Harnick</w:t>
        </w:r>
      </w:hyperlink>
      <w:r>
        <w:t xml:space="preserve"> (Liedtexte)</w:t>
      </w:r>
      <w:r w:rsidR="0005477F">
        <w:t xml:space="preserve"> wurde 1971 von Norman Jewison unter dem gleichen Titel verfilmt. Als Referenztext dient mir die unter dem Titel </w:t>
      </w:r>
      <w:r w:rsidR="0005477F" w:rsidRPr="0005477F">
        <w:rPr>
          <w:i/>
        </w:rPr>
        <w:t>Anatevka</w:t>
      </w:r>
      <w:r w:rsidR="0005477F">
        <w:t xml:space="preserve"> für den deutschen Markt vertriebene DVD des Spielfilms </w:t>
      </w:r>
      <w:r w:rsidR="0005477F" w:rsidRPr="0005477F">
        <w:t>(Jewison 2008)</w:t>
      </w:r>
      <w:r w:rsidR="0005477F">
        <w:t>.</w:t>
      </w:r>
    </w:p>
    <w:p w:rsidR="004358D2" w:rsidRDefault="004358D2" w:rsidP="000C4E4F">
      <w:pPr>
        <w:pStyle w:val="Notedebasdepage"/>
        <w:jc w:val="both"/>
      </w:pPr>
      <w:r w:rsidRPr="007D49A2">
        <w:rPr>
          <w:i/>
        </w:rPr>
        <w:t>Train de vie</w:t>
      </w:r>
      <w:r>
        <w:t xml:space="preserve"> wird in der Literatur oft auf </w:t>
      </w:r>
      <w:r w:rsidRPr="004358D2">
        <w:rPr>
          <w:i/>
        </w:rPr>
        <w:t>Fiddler on the Roof</w:t>
      </w:r>
      <w:r>
        <w:t xml:space="preserve"> bezogen. </w:t>
      </w:r>
      <w:r w:rsidR="00DE64BC" w:rsidRPr="00DE64BC">
        <w:t xml:space="preserve">(Gross </w:t>
      </w:r>
      <w:r w:rsidR="00361CC4">
        <w:t>und</w:t>
      </w:r>
      <w:r w:rsidR="00DE64BC" w:rsidRPr="00DE64BC">
        <w:t xml:space="preserve"> Rohr 2010)</w:t>
      </w:r>
      <w:r w:rsidR="00DE64BC">
        <w:t xml:space="preserve"> und </w:t>
      </w:r>
      <w:r w:rsidR="00357F6B" w:rsidRPr="00357F6B">
        <w:t>(Brenner 2008)</w:t>
      </w:r>
      <w:r w:rsidR="00357F6B">
        <w:t xml:space="preserve"> liefern dafür aktuellere </w:t>
      </w:r>
      <w:r>
        <w:t>Beispiele.</w:t>
      </w:r>
    </w:p>
  </w:footnote>
  <w:footnote w:id="10">
    <w:p w:rsidR="00CA23E0" w:rsidRDefault="00CA23E0" w:rsidP="000C4E4F">
      <w:pPr>
        <w:pStyle w:val="Notedebasdepage"/>
        <w:jc w:val="both"/>
      </w:pPr>
      <w:r>
        <w:rPr>
          <w:rStyle w:val="Appelnotedebasdep"/>
        </w:rPr>
        <w:footnoteRef/>
      </w:r>
      <w:r>
        <w:t xml:space="preserve"> Die Schreibweise orientiert sich am Abspann der Verfilmung</w:t>
      </w:r>
      <w:r w:rsidR="00506755">
        <w:t xml:space="preserve"> </w:t>
      </w:r>
      <w:r w:rsidR="00506755" w:rsidRPr="00506755">
        <w:t>(Jewison 2008)</w:t>
      </w:r>
      <w:r>
        <w:t>.</w:t>
      </w:r>
    </w:p>
  </w:footnote>
  <w:footnote w:id="11">
    <w:p w:rsidR="006817AB" w:rsidRDefault="006817AB">
      <w:pPr>
        <w:pStyle w:val="Notedebasdepage"/>
      </w:pPr>
      <w:r>
        <w:rPr>
          <w:rStyle w:val="Appelnotedebasdep"/>
        </w:rPr>
        <w:footnoteRef/>
      </w:r>
      <w:r>
        <w:t xml:space="preserve"> </w:t>
      </w:r>
      <w:r w:rsidRPr="006817AB">
        <w:t>(Bauer 2009, 2)</w:t>
      </w:r>
      <w:r w:rsidR="0056674B">
        <w:t>.</w:t>
      </w:r>
    </w:p>
  </w:footnote>
  <w:footnote w:id="12">
    <w:p w:rsidR="0007657D" w:rsidRDefault="0007657D" w:rsidP="0007657D">
      <w:pPr>
        <w:pStyle w:val="Notedebasdepage"/>
      </w:pPr>
      <w:r>
        <w:rPr>
          <w:rStyle w:val="Appelnotedebasdep"/>
        </w:rPr>
        <w:footnoteRef/>
      </w:r>
      <w:r>
        <w:t xml:space="preserve"> Die ebenfalls sehr populären Fotografien von Roman </w:t>
      </w:r>
      <w:r w:rsidRPr="009B34BC">
        <w:t>Vishniac</w:t>
      </w:r>
      <w:r>
        <w:t xml:space="preserve"> betonen – vielleicht nicht weniger sentimental – das Städtische des jüdischen Leb</w:t>
      </w:r>
      <w:r w:rsidR="00C869B0">
        <w:t>ens in Ost- und Ostmitteleuropa. V</w:t>
      </w:r>
      <w:r>
        <w:t xml:space="preserve">gl. </w:t>
      </w:r>
      <w:r w:rsidRPr="003B2F17">
        <w:t>(Vishniac 1965)</w:t>
      </w:r>
      <w:r w:rsidR="00C869B0">
        <w:t xml:space="preserve"> D</w:t>
      </w:r>
      <w:r>
        <w:t>eshalb spielen sie für die Bildwelt Mihaileanus keine so wichtige Rolle.</w:t>
      </w:r>
    </w:p>
  </w:footnote>
  <w:footnote w:id="13">
    <w:p w:rsidR="000A13F4" w:rsidRPr="000A13F4" w:rsidRDefault="000A13F4" w:rsidP="000C4E4F">
      <w:pPr>
        <w:pStyle w:val="Notedebasdepage"/>
        <w:jc w:val="both"/>
      </w:pPr>
      <w:r>
        <w:rPr>
          <w:rStyle w:val="Appelnotedebasdep"/>
        </w:rPr>
        <w:footnoteRef/>
      </w:r>
      <w:r w:rsidRPr="000A13F4">
        <w:t xml:space="preserve"> Vgl. die Abbildung des Plakates</w:t>
      </w:r>
      <w:r>
        <w:t xml:space="preserve"> im Artikel zum Musical der englischsprachigen Wikipedia:</w:t>
      </w:r>
      <w:r w:rsidRPr="000A13F4">
        <w:t xml:space="preserve"> http://en.wikipedia.org/wiki/Fiddler_on_the_Roof</w:t>
      </w:r>
      <w:r w:rsidR="0056674B">
        <w:t>.</w:t>
      </w:r>
    </w:p>
  </w:footnote>
  <w:footnote w:id="14">
    <w:p w:rsidR="0007657D" w:rsidRDefault="0007657D" w:rsidP="0007657D">
      <w:pPr>
        <w:pStyle w:val="Notedebasdepage"/>
        <w:jc w:val="both"/>
      </w:pPr>
      <w:r>
        <w:rPr>
          <w:rStyle w:val="Appelnotedebasdep"/>
        </w:rPr>
        <w:footnoteRef/>
      </w:r>
      <w:r w:rsidRPr="006801BB">
        <w:t xml:space="preserve"> Vgl. </w:t>
      </w:r>
      <w:r w:rsidRPr="00C34AA9">
        <w:t>(Whitfield 2003, 105)</w:t>
      </w:r>
      <w:r>
        <w:t>, hier erfährt man auch, dass Chagall nicht mit dem Musical in Verbindung gebracht werden wollte.</w:t>
      </w:r>
    </w:p>
  </w:footnote>
  <w:footnote w:id="15">
    <w:p w:rsidR="00A44E02" w:rsidRDefault="00A44E02" w:rsidP="000C4E4F">
      <w:pPr>
        <w:pStyle w:val="Notedebasdepage"/>
        <w:jc w:val="both"/>
      </w:pPr>
      <w:r>
        <w:rPr>
          <w:rStyle w:val="Appelnotedebasdep"/>
        </w:rPr>
        <w:footnoteRef/>
      </w:r>
      <w:r>
        <w:t xml:space="preserve"> Vgl. die Kritik anlässlich der Uraufführung</w:t>
      </w:r>
      <w:r w:rsidR="00050555">
        <w:t xml:space="preserve">, die Whitfield zitiert </w:t>
      </w:r>
      <w:r w:rsidR="00050555" w:rsidRPr="00050555">
        <w:t>(Whitfield 2003, 105)</w:t>
      </w:r>
      <w:r w:rsidR="00050555">
        <w:t>.</w:t>
      </w:r>
    </w:p>
  </w:footnote>
  <w:footnote w:id="16">
    <w:p w:rsidR="00077275" w:rsidRDefault="00077275" w:rsidP="000C4E4F">
      <w:pPr>
        <w:pStyle w:val="Notedebasdepage"/>
        <w:jc w:val="both"/>
      </w:pPr>
      <w:r>
        <w:rPr>
          <w:rStyle w:val="Appelnotedebasdep"/>
        </w:rPr>
        <w:footnoteRef/>
      </w:r>
      <w:r>
        <w:t xml:space="preserve"> Italien ist die </w:t>
      </w:r>
      <w:r w:rsidR="008050CD">
        <w:t>wichtigste</w:t>
      </w:r>
      <w:r>
        <w:t xml:space="preserve"> Ausnahme.</w:t>
      </w:r>
    </w:p>
  </w:footnote>
  <w:footnote w:id="17">
    <w:p w:rsidR="00C82684" w:rsidRDefault="00C82684" w:rsidP="000C4E4F">
      <w:pPr>
        <w:pStyle w:val="Notedebasdepage"/>
        <w:jc w:val="both"/>
      </w:pPr>
      <w:r>
        <w:rPr>
          <w:rStyle w:val="Appelnotedebasdep"/>
        </w:rPr>
        <w:footnoteRef/>
      </w:r>
      <w:r>
        <w:t xml:space="preserve"> Vgl. z.B. das Cover der Referenz-DVD.</w:t>
      </w:r>
    </w:p>
  </w:footnote>
  <w:footnote w:id="18">
    <w:p w:rsidR="0003170F" w:rsidRPr="006801BB" w:rsidRDefault="0003170F" w:rsidP="0003170F">
      <w:pPr>
        <w:pStyle w:val="Notedebasdepage"/>
        <w:jc w:val="both"/>
      </w:pPr>
      <w:r>
        <w:rPr>
          <w:rStyle w:val="Appelnotedebasdep"/>
        </w:rPr>
        <w:footnoteRef/>
      </w:r>
      <w:r w:rsidRPr="006801BB">
        <w:t xml:space="preserve"> (Whitfield 2003, 105).</w:t>
      </w:r>
    </w:p>
  </w:footnote>
  <w:footnote w:id="19">
    <w:p w:rsidR="00B65E39" w:rsidRDefault="00B65E39" w:rsidP="00B65E39">
      <w:pPr>
        <w:pStyle w:val="Notedebasdepage"/>
        <w:jc w:val="both"/>
      </w:pPr>
      <w:r>
        <w:rPr>
          <w:rStyle w:val="Appelnotedebasdep"/>
        </w:rPr>
        <w:footnoteRef/>
      </w:r>
      <w:r>
        <w:t xml:space="preserve"> Vgl. zu Alejchems Stellung in der jiddischen Literatur </w:t>
      </w:r>
      <w:r w:rsidRPr="00984468">
        <w:rPr>
          <w:szCs w:val="24"/>
        </w:rPr>
        <w:t xml:space="preserve">(Dinse </w:t>
      </w:r>
      <w:r w:rsidR="00361CC4">
        <w:rPr>
          <w:szCs w:val="24"/>
        </w:rPr>
        <w:t>und</w:t>
      </w:r>
      <w:r w:rsidRPr="00984468">
        <w:rPr>
          <w:szCs w:val="24"/>
        </w:rPr>
        <w:t xml:space="preserve"> Liptzin 1978, 95–98)</w:t>
      </w:r>
      <w:r>
        <w:t>.</w:t>
      </w:r>
    </w:p>
  </w:footnote>
  <w:footnote w:id="20">
    <w:p w:rsidR="002E5537" w:rsidRDefault="002E5537" w:rsidP="002E5537">
      <w:pPr>
        <w:pStyle w:val="Notedebasdepage"/>
      </w:pPr>
      <w:r>
        <w:rPr>
          <w:rStyle w:val="Appelnotedebasdep"/>
        </w:rPr>
        <w:footnoteRef/>
      </w:r>
      <w:r>
        <w:t xml:space="preserve"> Vgl. </w:t>
      </w:r>
      <w:r w:rsidRPr="000D4699">
        <w:t>(Wolitz 1988)</w:t>
      </w:r>
      <w:r>
        <w:t>.</w:t>
      </w:r>
    </w:p>
  </w:footnote>
  <w:footnote w:id="21">
    <w:p w:rsidR="00101245" w:rsidRPr="006801BB" w:rsidRDefault="00101245" w:rsidP="000C4E4F">
      <w:pPr>
        <w:pStyle w:val="Notedebasdepage"/>
        <w:jc w:val="both"/>
      </w:pPr>
      <w:r>
        <w:rPr>
          <w:rStyle w:val="Appelnotedebasdep"/>
        </w:rPr>
        <w:footnoteRef/>
      </w:r>
      <w:r w:rsidRPr="006801BB">
        <w:t xml:space="preserve"> </w:t>
      </w:r>
      <w:r w:rsidR="00D11B2B" w:rsidRPr="006801BB">
        <w:t>Zitiert nach (Whitfield 2003, 105).</w:t>
      </w:r>
    </w:p>
  </w:footnote>
  <w:footnote w:id="22">
    <w:p w:rsidR="00D11B2B" w:rsidRPr="00B8484C" w:rsidRDefault="00D11B2B" w:rsidP="000C4E4F">
      <w:pPr>
        <w:pStyle w:val="Notedebasdepage"/>
        <w:jc w:val="both"/>
        <w:rPr>
          <w:lang w:val="en-US"/>
        </w:rPr>
      </w:pPr>
      <w:r>
        <w:rPr>
          <w:rStyle w:val="Appelnotedebasdep"/>
        </w:rPr>
        <w:footnoteRef/>
      </w:r>
      <w:r w:rsidRPr="00B8484C">
        <w:rPr>
          <w:lang w:val="en-US"/>
        </w:rPr>
        <w:t xml:space="preserve"> Zitiert nach </w:t>
      </w:r>
      <w:r w:rsidR="00181598" w:rsidRPr="00B8484C">
        <w:rPr>
          <w:lang w:val="en-US"/>
        </w:rPr>
        <w:t>(Whitfield 2003, 105)</w:t>
      </w:r>
      <w:r w:rsidRPr="00B8484C">
        <w:rPr>
          <w:lang w:val="en-US"/>
        </w:rPr>
        <w:t>.</w:t>
      </w:r>
    </w:p>
  </w:footnote>
  <w:footnote w:id="23">
    <w:p w:rsidR="00181598" w:rsidRPr="009B34BC" w:rsidRDefault="00181598" w:rsidP="000C4E4F">
      <w:pPr>
        <w:pStyle w:val="Notedebasdepage"/>
        <w:jc w:val="both"/>
        <w:rPr>
          <w:lang w:val="en-US"/>
        </w:rPr>
      </w:pPr>
      <w:r>
        <w:rPr>
          <w:rStyle w:val="Appelnotedebasdep"/>
        </w:rPr>
        <w:footnoteRef/>
      </w:r>
      <w:r w:rsidRPr="009B34BC">
        <w:rPr>
          <w:lang w:val="en-US"/>
        </w:rPr>
        <w:t xml:space="preserve"> Vgl. </w:t>
      </w:r>
      <w:r w:rsidRPr="009B34BC">
        <w:rPr>
          <w:szCs w:val="24"/>
          <w:lang w:val="en-US"/>
        </w:rPr>
        <w:t>(Whitfield 2003, 120–121)</w:t>
      </w:r>
      <w:r w:rsidRPr="009B34BC">
        <w:rPr>
          <w:lang w:val="en-US"/>
        </w:rPr>
        <w:t>.</w:t>
      </w:r>
    </w:p>
  </w:footnote>
  <w:footnote w:id="24">
    <w:p w:rsidR="00781B8C" w:rsidRDefault="00781B8C">
      <w:pPr>
        <w:pStyle w:val="Notedebasdepage"/>
      </w:pPr>
      <w:r>
        <w:rPr>
          <w:rStyle w:val="Appelnotedebasdep"/>
        </w:rPr>
        <w:footnoteRef/>
      </w:r>
      <w:r>
        <w:t xml:space="preserve"> Vgl. </w:t>
      </w:r>
      <w:r w:rsidRPr="00781B8C">
        <w:t>(Whitfield 2003, 110)</w:t>
      </w:r>
      <w:r>
        <w:t>.</w:t>
      </w:r>
    </w:p>
  </w:footnote>
  <w:footnote w:id="25">
    <w:p w:rsidR="006E557A" w:rsidRDefault="006E557A">
      <w:pPr>
        <w:pStyle w:val="Notedebasdepage"/>
      </w:pPr>
      <w:r>
        <w:rPr>
          <w:rStyle w:val="Appelnotedebasdep"/>
        </w:rPr>
        <w:footnoteRef/>
      </w:r>
      <w:r>
        <w:t xml:space="preserve"> Ragheb</w:t>
      </w:r>
      <w:r w:rsidR="00385015">
        <w:t xml:space="preserve"> im Beiheft zu </w:t>
      </w:r>
      <w:r w:rsidR="00385015" w:rsidRPr="00385015">
        <w:t>(Mihaileanu 2004)</w:t>
      </w:r>
      <w:r w:rsidR="00385015">
        <w:t>.</w:t>
      </w:r>
    </w:p>
  </w:footnote>
  <w:footnote w:id="26">
    <w:p w:rsidR="007356AF" w:rsidRDefault="007356AF" w:rsidP="000C4E4F">
      <w:pPr>
        <w:pStyle w:val="Notedebasdepage"/>
        <w:jc w:val="both"/>
      </w:pPr>
      <w:r>
        <w:rPr>
          <w:rStyle w:val="Appelnotedebasdep"/>
        </w:rPr>
        <w:footnoteRef/>
      </w:r>
      <w:r>
        <w:t xml:space="preserve"> </w:t>
      </w:r>
      <w:r w:rsidR="00606FD5">
        <w:t xml:space="preserve">Vorwort von Carlo Schmid in </w:t>
      </w:r>
      <w:r w:rsidR="00606FD5" w:rsidRPr="00606FD5">
        <w:t>(Landmann 1999, 12)</w:t>
      </w:r>
      <w:r w:rsidR="0056674B">
        <w:t>.</w:t>
      </w:r>
    </w:p>
  </w:footnote>
  <w:footnote w:id="27">
    <w:p w:rsidR="006C2D08" w:rsidRDefault="006C2D08" w:rsidP="000C4E4F">
      <w:pPr>
        <w:pStyle w:val="Notedebasdepage"/>
        <w:jc w:val="both"/>
      </w:pPr>
      <w:r>
        <w:rPr>
          <w:rStyle w:val="Appelnotedebasdep"/>
        </w:rPr>
        <w:footnoteRef/>
      </w:r>
      <w:r>
        <w:t xml:space="preserve"> </w:t>
      </w:r>
      <w:r w:rsidRPr="006C2D08">
        <w:t>(Landmann 1999, 116)</w:t>
      </w:r>
      <w:r w:rsidR="0056674B">
        <w:t>.</w:t>
      </w:r>
    </w:p>
  </w:footnote>
  <w:footnote w:id="28">
    <w:p w:rsidR="006C2D08" w:rsidRDefault="006C2D08" w:rsidP="000C4E4F">
      <w:pPr>
        <w:pStyle w:val="Notedebasdepage"/>
        <w:jc w:val="both"/>
      </w:pPr>
      <w:r>
        <w:rPr>
          <w:rStyle w:val="Appelnotedebasdep"/>
        </w:rPr>
        <w:footnoteRef/>
      </w:r>
      <w:r>
        <w:t xml:space="preserve"> </w:t>
      </w:r>
      <w:r w:rsidRPr="006C2D08">
        <w:t>(Landmann 1999, 116)</w:t>
      </w:r>
      <w:r w:rsidR="0056674B">
        <w:t>.</w:t>
      </w:r>
    </w:p>
  </w:footnote>
  <w:footnote w:id="29">
    <w:p w:rsidR="009D49F1" w:rsidRDefault="009D49F1">
      <w:pPr>
        <w:pStyle w:val="Notedebasdepage"/>
      </w:pPr>
      <w:r>
        <w:rPr>
          <w:rStyle w:val="Appelnotedebasdep"/>
        </w:rPr>
        <w:footnoteRef/>
      </w:r>
      <w:r>
        <w:t xml:space="preserve"> Man denke bloß an den großen Erfolg jüdischer Komiker in Hollywood und am Broadway.</w:t>
      </w:r>
    </w:p>
  </w:footnote>
  <w:footnote w:id="30">
    <w:p w:rsidR="00832E83" w:rsidRDefault="00832E83" w:rsidP="00832E83">
      <w:pPr>
        <w:pStyle w:val="Notedebasdepage"/>
      </w:pPr>
      <w:r>
        <w:rPr>
          <w:rStyle w:val="Appelnotedebasdep"/>
        </w:rPr>
        <w:footnoteRef/>
      </w:r>
      <w:r>
        <w:t xml:space="preserve"> Mit den jüdischen Wurzeln des Humors im gesamten Werk Mihaileanus setzt sich</w:t>
      </w:r>
      <w:r w:rsidR="00117370">
        <w:t xml:space="preserve"> </w:t>
      </w:r>
      <w:r w:rsidR="00117370" w:rsidRPr="00117370">
        <w:t>(Pop 2010)</w:t>
      </w:r>
      <w:r>
        <w:t xml:space="preserve"> auseinander.</w:t>
      </w:r>
    </w:p>
  </w:footnote>
  <w:footnote w:id="31">
    <w:p w:rsidR="005C0B5B" w:rsidRDefault="005C0B5B" w:rsidP="000C4E4F">
      <w:pPr>
        <w:pStyle w:val="Notedebasdepage"/>
        <w:jc w:val="both"/>
      </w:pPr>
      <w:r>
        <w:rPr>
          <w:rStyle w:val="Appelnotedebasdep"/>
        </w:rPr>
        <w:footnoteRef/>
      </w:r>
      <w:r>
        <w:t xml:space="preserve"> Die Einstellung</w:t>
      </w:r>
      <w:r w:rsidR="00D12BDE">
        <w:t>,</w:t>
      </w:r>
      <w:r w:rsidR="001120D7">
        <w:t xml:space="preserve"> die Schmechts Reise da</w:t>
      </w:r>
      <w:r w:rsidR="00D12BDE">
        <w:t>rste</w:t>
      </w:r>
      <w:r w:rsidR="001120D7">
        <w:t>llt</w:t>
      </w:r>
      <w:r w:rsidR="00F578FD">
        <w:t xml:space="preserve"> (16:24)</w:t>
      </w:r>
      <w:r w:rsidR="001120D7">
        <w:t xml:space="preserve">, findet sich </w:t>
      </w:r>
      <w:r w:rsidR="00F578FD">
        <w:t>sehr ähnlich</w:t>
      </w:r>
      <w:r w:rsidR="00D12BDE">
        <w:t xml:space="preserve"> in „Tradition“ aus </w:t>
      </w:r>
      <w:r w:rsidR="00D12BDE" w:rsidRPr="00D12BDE">
        <w:rPr>
          <w:i/>
        </w:rPr>
        <w:t>Fiddler on the Roof</w:t>
      </w:r>
      <w:r w:rsidR="00F578FD">
        <w:rPr>
          <w:i/>
        </w:rPr>
        <w:t xml:space="preserve"> </w:t>
      </w:r>
      <w:r w:rsidR="00F578FD">
        <w:t>(3:01), wo man Tevye bei der Arbeit sieht</w:t>
      </w:r>
      <w:r w:rsidR="00D12BDE">
        <w:t>.</w:t>
      </w:r>
      <w:r>
        <w:t xml:space="preserve"> </w:t>
      </w:r>
      <w:r w:rsidR="00F578FD">
        <w:t>Über den Milchmann wird Schmecht auf Alejchem bezogen</w:t>
      </w:r>
      <w:r w:rsidR="00951A5E">
        <w:t>, der so zum Vorbild f</w:t>
      </w:r>
      <w:r w:rsidR="00575770">
        <w:t>ür die Flüchtlinge</w:t>
      </w:r>
      <w:r w:rsidR="00951A5E">
        <w:t xml:space="preserve"> wird</w:t>
      </w:r>
      <w:r w:rsidR="00F578FD">
        <w:t>.</w:t>
      </w:r>
    </w:p>
  </w:footnote>
  <w:footnote w:id="32">
    <w:p w:rsidR="00FD77CC" w:rsidRDefault="00FD77CC" w:rsidP="000C4E4F">
      <w:pPr>
        <w:pStyle w:val="Notedebasdepage"/>
        <w:jc w:val="both"/>
      </w:pPr>
      <w:r>
        <w:rPr>
          <w:rStyle w:val="Appelnotedebasdep"/>
        </w:rPr>
        <w:footnoteRef/>
      </w:r>
      <w:r>
        <w:t xml:space="preserve"> Sie reden unsere Sprache, um uns auszulachen. </w:t>
      </w:r>
      <w:r w:rsidRPr="00412F19">
        <w:t>(Landmann 1999, 436)</w:t>
      </w:r>
      <w:r w:rsidR="0056674B">
        <w:t>.</w:t>
      </w:r>
    </w:p>
  </w:footnote>
  <w:footnote w:id="33">
    <w:p w:rsidR="00067DD2" w:rsidRDefault="00067DD2" w:rsidP="000C4E4F">
      <w:pPr>
        <w:pStyle w:val="Notedebasdepage"/>
        <w:jc w:val="both"/>
      </w:pPr>
      <w:r>
        <w:rPr>
          <w:rStyle w:val="Appelnotedebasdep"/>
        </w:rPr>
        <w:footnoteRef/>
      </w:r>
      <w:r>
        <w:t xml:space="preserve"> Fragt ein Jude den andern: Warum beantwortet ein Jude eine Frage immer mit einer Gegenfrage? </w:t>
      </w:r>
      <w:r w:rsidR="008125A4">
        <w:t>Hört</w:t>
      </w:r>
      <w:r>
        <w:t xml:space="preserve"> er folgende Antwort: Warum nicht?</w:t>
      </w:r>
    </w:p>
  </w:footnote>
  <w:footnote w:id="34">
    <w:p w:rsidR="00BF6DD0" w:rsidRDefault="00BF6DD0" w:rsidP="000C4E4F">
      <w:pPr>
        <w:pStyle w:val="Notedebasdepage"/>
        <w:jc w:val="both"/>
      </w:pPr>
      <w:r>
        <w:rPr>
          <w:rStyle w:val="Appelnotedebasdep"/>
        </w:rPr>
        <w:footnoteRef/>
      </w:r>
      <w:r>
        <w:t xml:space="preserve"> </w:t>
      </w:r>
      <w:r w:rsidR="00D9321F">
        <w:t>Auch Kortmann hört im Schweigen des Schlusses das Ausgesparte durchklingen. Insbesondere verweist sie auf die Instrumentalisierung der Judenräte durch die Deutschen und das Selbstverständnis des Vorsitzenden des Rats von Łódź</w:t>
      </w:r>
      <w:r w:rsidR="008C25EE">
        <w:t>, der sich als zweiter M</w:t>
      </w:r>
      <w:r w:rsidR="00D66E93">
        <w:t>ordechai, Held des Purim-Spiels</w:t>
      </w:r>
      <w:r w:rsidR="008C25EE">
        <w:t xml:space="preserve"> feiern ließ.</w:t>
      </w:r>
      <w:r w:rsidR="00D66E93">
        <w:t xml:space="preserve"> </w:t>
      </w:r>
      <w:r w:rsidR="008125A4">
        <w:t xml:space="preserve">Vgl. </w:t>
      </w:r>
      <w:r w:rsidR="008125A4" w:rsidRPr="008125A4">
        <w:t>(Kortmann 2003)</w:t>
      </w:r>
      <w:r w:rsidR="008125A4">
        <w:t>.</w:t>
      </w:r>
    </w:p>
  </w:footnote>
  <w:footnote w:id="35">
    <w:p w:rsidR="00764E55" w:rsidRDefault="00764E55" w:rsidP="000C4E4F">
      <w:pPr>
        <w:pStyle w:val="Notedebasdepage"/>
        <w:jc w:val="both"/>
      </w:pPr>
      <w:r>
        <w:rPr>
          <w:rStyle w:val="Appelnotedebasdep"/>
        </w:rPr>
        <w:footnoteRef/>
      </w:r>
      <w:r>
        <w:t xml:space="preserve"> </w:t>
      </w:r>
      <w:r w:rsidR="00D66E93">
        <w:t xml:space="preserve">Z.B. </w:t>
      </w:r>
      <w:r w:rsidR="00144F6F">
        <w:t>ahnt man angesichts des</w:t>
      </w:r>
      <w:r w:rsidR="00D66E93">
        <w:t xml:space="preserve"> verlassene</w:t>
      </w:r>
      <w:r w:rsidR="00144F6F">
        <w:t>n</w:t>
      </w:r>
      <w:r w:rsidR="00D66E93">
        <w:t xml:space="preserve"> Dorfplatz</w:t>
      </w:r>
      <w:r w:rsidR="00144F6F">
        <w:t>es</w:t>
      </w:r>
      <w:r w:rsidR="00D66E93">
        <w:t xml:space="preserve"> übersät mit zurückgelassenen Habseligkeiten und verwehten Papieren kurz nach der Abfahrt das unausweichliche Ende (23:50)</w:t>
      </w:r>
      <w:r>
        <w:t>.</w:t>
      </w:r>
    </w:p>
  </w:footnote>
  <w:footnote w:id="36">
    <w:p w:rsidR="006D1DF4" w:rsidRDefault="006D1DF4" w:rsidP="000C4E4F">
      <w:pPr>
        <w:pStyle w:val="Notedebasdepage"/>
        <w:jc w:val="both"/>
      </w:pPr>
      <w:r>
        <w:rPr>
          <w:rStyle w:val="Appelnotedebasdep"/>
        </w:rPr>
        <w:footnoteRef/>
      </w:r>
      <w:r>
        <w:t xml:space="preserve"> </w:t>
      </w:r>
      <w:r w:rsidR="00F05805">
        <w:t xml:space="preserve">Die </w:t>
      </w:r>
      <w:r w:rsidR="00714DE6">
        <w:t xml:space="preserve">wundersame </w:t>
      </w:r>
      <w:r>
        <w:t>Speisung mit Manna aus den Küchen der Deutschen</w:t>
      </w:r>
      <w:r w:rsidR="00F05805">
        <w:t xml:space="preserve"> (1:12:28–1:</w:t>
      </w:r>
      <w:r w:rsidR="00714DE6">
        <w:t xml:space="preserve">13:42) und die </w:t>
      </w:r>
      <w:r w:rsidR="001E1E9A">
        <w:t>Anbetung des</w:t>
      </w:r>
      <w:r>
        <w:t xml:space="preserve"> Goldene</w:t>
      </w:r>
      <w:r w:rsidR="001E1E9A">
        <w:t>n</w:t>
      </w:r>
      <w:r>
        <w:t xml:space="preserve"> Kalb</w:t>
      </w:r>
      <w:r w:rsidR="001E1E9A">
        <w:t>s Kommunismus</w:t>
      </w:r>
      <w:r w:rsidR="0008461C">
        <w:t xml:space="preserve"> unter dem Slogan „Unissez-vous!“ (passim) </w:t>
      </w:r>
      <w:r w:rsidR="00A87D83">
        <w:t xml:space="preserve">spielen an auf die Abenteuer der Flucht im </w:t>
      </w:r>
      <w:r w:rsidR="000C1E17" w:rsidRPr="000C1E17">
        <w:rPr>
          <w:bCs/>
          <w:i/>
        </w:rPr>
        <w:t>Sefer Schemot</w:t>
      </w:r>
      <w:r w:rsidR="000C1E17" w:rsidRPr="000C1E17">
        <w:rPr>
          <w:bCs/>
        </w:rPr>
        <w:t>.</w:t>
      </w:r>
      <w:r w:rsidR="00B02A36">
        <w:rPr>
          <w:bCs/>
        </w:rPr>
        <w:t xml:space="preserve"> </w:t>
      </w:r>
      <w:r w:rsidR="002F4C5D">
        <w:rPr>
          <w:bCs/>
        </w:rPr>
        <w:t>Die Erzählung aus dem Pentateuch</w:t>
      </w:r>
      <w:r w:rsidR="00B02A36">
        <w:rPr>
          <w:bCs/>
        </w:rPr>
        <w:t xml:space="preserve"> wird au</w:t>
      </w:r>
      <w:r w:rsidR="0075434A">
        <w:rPr>
          <w:bCs/>
        </w:rPr>
        <w:t>ch häufig in der Literatur als Hypo</w:t>
      </w:r>
      <w:r w:rsidR="00B02A36">
        <w:rPr>
          <w:bCs/>
        </w:rPr>
        <w:t>text identifiziert</w:t>
      </w:r>
      <w:r w:rsidR="002A6647">
        <w:rPr>
          <w:bCs/>
        </w:rPr>
        <w:t>.</w:t>
      </w:r>
    </w:p>
  </w:footnote>
  <w:footnote w:id="37">
    <w:p w:rsidR="009708CB" w:rsidRDefault="009708CB" w:rsidP="00632944">
      <w:pPr>
        <w:pStyle w:val="Notedebasdepage"/>
        <w:jc w:val="both"/>
      </w:pPr>
      <w:r>
        <w:rPr>
          <w:rStyle w:val="Appelnotedebasdep"/>
        </w:rPr>
        <w:footnoteRef/>
      </w:r>
      <w:r>
        <w:t xml:space="preserve"> Perrine Häfner hat mich in der Diskussion darauf hingewiesen, dass sich Foucaults Begriff der </w:t>
      </w:r>
      <w:r w:rsidR="00E463A9">
        <w:t>„</w:t>
      </w:r>
      <w:r>
        <w:t>Heterotopie</w:t>
      </w:r>
      <w:r w:rsidR="00E463A9">
        <w:t>“</w:t>
      </w:r>
      <w:r>
        <w:t xml:space="preserve"> für die Beschreibung des hier beobachteten Verhältnisses von realen und imaginären Orten und ihrem Verschwinden eignen könnte. In der Tat erscheint mir der Ansatz sehr vielversprechen</w:t>
      </w:r>
      <w:r w:rsidR="00FB5466">
        <w:t>d</w:t>
      </w:r>
      <w:r>
        <w:t>, besonders wenn man von der</w:t>
      </w:r>
      <w:r w:rsidR="00FB5466">
        <w:t xml:space="preserve"> weiten Variante des Begriffs, wie er sich in einem Radiovortrag von 1966 findet, ausgeht. Vgl. </w:t>
      </w:r>
      <w:r w:rsidR="00FB5466" w:rsidRPr="00FB5466">
        <w:t>(Foucault 2005)</w:t>
      </w:r>
      <w:r w:rsidR="00B25A99">
        <w:t>. Bei der Bergung dieses Begriffes müsste man parallel „</w:t>
      </w:r>
      <w:r w:rsidR="005B43A2">
        <w:t>Non-Lieu</w:t>
      </w:r>
      <w:r w:rsidR="00B25A99">
        <w:t>“ in der Tradition, die auf den Anthropologen Marc Augé zurückgeht, freischneiden.</w:t>
      </w:r>
      <w:r w:rsidR="000F402C">
        <w:t xml:space="preserve"> Auch Überlegungen zum Be</w:t>
      </w:r>
      <w:r w:rsidR="000D417E">
        <w:t>griff de</w:t>
      </w:r>
      <w:r w:rsidR="00A67E19">
        <w:t>s</w:t>
      </w:r>
      <w:r w:rsidR="000D417E">
        <w:t xml:space="preserve"> „</w:t>
      </w:r>
      <w:r w:rsidR="000F402C">
        <w:t>lieu de mémoire“, den Pierre Nora in die Geschichtswissenschaft einführte,</w:t>
      </w:r>
      <w:r w:rsidR="000D417E">
        <w:t xml:space="preserve"> würden helfen, den für meine Beobachtungen passenden Begriff zu bilden.</w:t>
      </w:r>
      <w:r w:rsidR="00D23ADB">
        <w:t xml:space="preserve"> Auf diesem Weg ließe sich der empirische Befund für die theoretische Debatte fruchtbar machen.</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2370"/>
    <w:rsid w:val="0000034F"/>
    <w:rsid w:val="00005109"/>
    <w:rsid w:val="000061BF"/>
    <w:rsid w:val="0000645E"/>
    <w:rsid w:val="000065F8"/>
    <w:rsid w:val="00007E8A"/>
    <w:rsid w:val="000111DE"/>
    <w:rsid w:val="00012193"/>
    <w:rsid w:val="00013A9B"/>
    <w:rsid w:val="000142E9"/>
    <w:rsid w:val="00016D07"/>
    <w:rsid w:val="00022B50"/>
    <w:rsid w:val="00025517"/>
    <w:rsid w:val="0002662E"/>
    <w:rsid w:val="0003170F"/>
    <w:rsid w:val="00034250"/>
    <w:rsid w:val="00034559"/>
    <w:rsid w:val="00037730"/>
    <w:rsid w:val="00040FFE"/>
    <w:rsid w:val="00045D0B"/>
    <w:rsid w:val="00050555"/>
    <w:rsid w:val="000507D5"/>
    <w:rsid w:val="000510D9"/>
    <w:rsid w:val="0005477F"/>
    <w:rsid w:val="00057324"/>
    <w:rsid w:val="000606E4"/>
    <w:rsid w:val="00060F40"/>
    <w:rsid w:val="00067DD2"/>
    <w:rsid w:val="00071C88"/>
    <w:rsid w:val="0007657D"/>
    <w:rsid w:val="00077275"/>
    <w:rsid w:val="000774B5"/>
    <w:rsid w:val="0008360B"/>
    <w:rsid w:val="00084170"/>
    <w:rsid w:val="0008461C"/>
    <w:rsid w:val="0009439E"/>
    <w:rsid w:val="000A13F4"/>
    <w:rsid w:val="000A1F2C"/>
    <w:rsid w:val="000A23AB"/>
    <w:rsid w:val="000A3929"/>
    <w:rsid w:val="000A5423"/>
    <w:rsid w:val="000B3BF7"/>
    <w:rsid w:val="000B5F51"/>
    <w:rsid w:val="000C1E17"/>
    <w:rsid w:val="000C4E4F"/>
    <w:rsid w:val="000C5FCC"/>
    <w:rsid w:val="000C7B22"/>
    <w:rsid w:val="000D417E"/>
    <w:rsid w:val="000D4699"/>
    <w:rsid w:val="000D4D18"/>
    <w:rsid w:val="000E030F"/>
    <w:rsid w:val="000E1FEE"/>
    <w:rsid w:val="000E42AC"/>
    <w:rsid w:val="000E5454"/>
    <w:rsid w:val="000E621F"/>
    <w:rsid w:val="000E7978"/>
    <w:rsid w:val="000E7EF2"/>
    <w:rsid w:val="000F402C"/>
    <w:rsid w:val="000F4A31"/>
    <w:rsid w:val="000F5EB2"/>
    <w:rsid w:val="000F5F43"/>
    <w:rsid w:val="000F6FD3"/>
    <w:rsid w:val="00101245"/>
    <w:rsid w:val="001103B6"/>
    <w:rsid w:val="001120D7"/>
    <w:rsid w:val="00117370"/>
    <w:rsid w:val="001213B5"/>
    <w:rsid w:val="00121AB0"/>
    <w:rsid w:val="001304B9"/>
    <w:rsid w:val="00131B0F"/>
    <w:rsid w:val="00134503"/>
    <w:rsid w:val="00136E1A"/>
    <w:rsid w:val="00144F6F"/>
    <w:rsid w:val="00153C71"/>
    <w:rsid w:val="00154CB3"/>
    <w:rsid w:val="00156DB6"/>
    <w:rsid w:val="00160BF9"/>
    <w:rsid w:val="00161595"/>
    <w:rsid w:val="001628C5"/>
    <w:rsid w:val="001640B8"/>
    <w:rsid w:val="00170715"/>
    <w:rsid w:val="00177932"/>
    <w:rsid w:val="001809C7"/>
    <w:rsid w:val="00181598"/>
    <w:rsid w:val="00182FE1"/>
    <w:rsid w:val="00186986"/>
    <w:rsid w:val="0019444D"/>
    <w:rsid w:val="001A6061"/>
    <w:rsid w:val="001B28D9"/>
    <w:rsid w:val="001C2186"/>
    <w:rsid w:val="001C7B3A"/>
    <w:rsid w:val="001D198F"/>
    <w:rsid w:val="001D1ADF"/>
    <w:rsid w:val="001D514E"/>
    <w:rsid w:val="001E0A13"/>
    <w:rsid w:val="001E1E9A"/>
    <w:rsid w:val="001E2B76"/>
    <w:rsid w:val="001E356A"/>
    <w:rsid w:val="001E50DE"/>
    <w:rsid w:val="001F0BEB"/>
    <w:rsid w:val="001F5456"/>
    <w:rsid w:val="00203B6F"/>
    <w:rsid w:val="002056AB"/>
    <w:rsid w:val="00205B95"/>
    <w:rsid w:val="00207853"/>
    <w:rsid w:val="00211130"/>
    <w:rsid w:val="0022126F"/>
    <w:rsid w:val="002243D0"/>
    <w:rsid w:val="00224AF7"/>
    <w:rsid w:val="00225B4F"/>
    <w:rsid w:val="00234210"/>
    <w:rsid w:val="0023741D"/>
    <w:rsid w:val="00241E63"/>
    <w:rsid w:val="00253496"/>
    <w:rsid w:val="00254D77"/>
    <w:rsid w:val="00260ED0"/>
    <w:rsid w:val="00265E26"/>
    <w:rsid w:val="00270F8C"/>
    <w:rsid w:val="00271360"/>
    <w:rsid w:val="00276006"/>
    <w:rsid w:val="002814A2"/>
    <w:rsid w:val="002823F6"/>
    <w:rsid w:val="002837FC"/>
    <w:rsid w:val="002850FC"/>
    <w:rsid w:val="0028628B"/>
    <w:rsid w:val="0028778E"/>
    <w:rsid w:val="00287FB1"/>
    <w:rsid w:val="00294FA3"/>
    <w:rsid w:val="00295682"/>
    <w:rsid w:val="00296895"/>
    <w:rsid w:val="00297ACE"/>
    <w:rsid w:val="002A2C1E"/>
    <w:rsid w:val="002A6647"/>
    <w:rsid w:val="002C1559"/>
    <w:rsid w:val="002C1601"/>
    <w:rsid w:val="002C25CF"/>
    <w:rsid w:val="002C2BE5"/>
    <w:rsid w:val="002C61C3"/>
    <w:rsid w:val="002E5537"/>
    <w:rsid w:val="002E68E6"/>
    <w:rsid w:val="002E78C4"/>
    <w:rsid w:val="002F2E6C"/>
    <w:rsid w:val="002F4C5D"/>
    <w:rsid w:val="002F615B"/>
    <w:rsid w:val="00300596"/>
    <w:rsid w:val="00302E83"/>
    <w:rsid w:val="00303361"/>
    <w:rsid w:val="00312864"/>
    <w:rsid w:val="00314DE4"/>
    <w:rsid w:val="00315158"/>
    <w:rsid w:val="00316F41"/>
    <w:rsid w:val="00320626"/>
    <w:rsid w:val="00321048"/>
    <w:rsid w:val="003378DE"/>
    <w:rsid w:val="00340661"/>
    <w:rsid w:val="00344EAB"/>
    <w:rsid w:val="0035060B"/>
    <w:rsid w:val="0035118D"/>
    <w:rsid w:val="00352F6B"/>
    <w:rsid w:val="0035573B"/>
    <w:rsid w:val="00357F6B"/>
    <w:rsid w:val="00360212"/>
    <w:rsid w:val="00361CC4"/>
    <w:rsid w:val="00362D83"/>
    <w:rsid w:val="00375DB1"/>
    <w:rsid w:val="003774A5"/>
    <w:rsid w:val="00385015"/>
    <w:rsid w:val="00392908"/>
    <w:rsid w:val="00397901"/>
    <w:rsid w:val="003A6941"/>
    <w:rsid w:val="003B2F17"/>
    <w:rsid w:val="003B66FE"/>
    <w:rsid w:val="003C6ACC"/>
    <w:rsid w:val="003C7A31"/>
    <w:rsid w:val="003E32DF"/>
    <w:rsid w:val="003E6417"/>
    <w:rsid w:val="003E6606"/>
    <w:rsid w:val="003F0133"/>
    <w:rsid w:val="003F26FC"/>
    <w:rsid w:val="004023DA"/>
    <w:rsid w:val="00402C43"/>
    <w:rsid w:val="004034F5"/>
    <w:rsid w:val="00412F19"/>
    <w:rsid w:val="00414B4F"/>
    <w:rsid w:val="0042282F"/>
    <w:rsid w:val="00432764"/>
    <w:rsid w:val="004332C9"/>
    <w:rsid w:val="00434892"/>
    <w:rsid w:val="004358D2"/>
    <w:rsid w:val="0043660C"/>
    <w:rsid w:val="00436FC2"/>
    <w:rsid w:val="00442370"/>
    <w:rsid w:val="00464709"/>
    <w:rsid w:val="004674D3"/>
    <w:rsid w:val="00471867"/>
    <w:rsid w:val="00480557"/>
    <w:rsid w:val="004965EA"/>
    <w:rsid w:val="004A03AD"/>
    <w:rsid w:val="004A0A1A"/>
    <w:rsid w:val="004A182E"/>
    <w:rsid w:val="004B4814"/>
    <w:rsid w:val="004C2A61"/>
    <w:rsid w:val="004C62B3"/>
    <w:rsid w:val="004E3D86"/>
    <w:rsid w:val="00501240"/>
    <w:rsid w:val="00506755"/>
    <w:rsid w:val="0050788F"/>
    <w:rsid w:val="005128EE"/>
    <w:rsid w:val="00522A4A"/>
    <w:rsid w:val="005233F0"/>
    <w:rsid w:val="00527589"/>
    <w:rsid w:val="005450CE"/>
    <w:rsid w:val="00546364"/>
    <w:rsid w:val="00546584"/>
    <w:rsid w:val="00547CBA"/>
    <w:rsid w:val="00547D91"/>
    <w:rsid w:val="00555F09"/>
    <w:rsid w:val="00555FC4"/>
    <w:rsid w:val="00566454"/>
    <w:rsid w:val="0056674B"/>
    <w:rsid w:val="00572F77"/>
    <w:rsid w:val="00574384"/>
    <w:rsid w:val="00575770"/>
    <w:rsid w:val="00575F7F"/>
    <w:rsid w:val="00593C8F"/>
    <w:rsid w:val="005962A1"/>
    <w:rsid w:val="00597E1D"/>
    <w:rsid w:val="005A473F"/>
    <w:rsid w:val="005B0709"/>
    <w:rsid w:val="005B1ADD"/>
    <w:rsid w:val="005B42C6"/>
    <w:rsid w:val="005B43A2"/>
    <w:rsid w:val="005B5366"/>
    <w:rsid w:val="005B5A18"/>
    <w:rsid w:val="005B6079"/>
    <w:rsid w:val="005C0B5B"/>
    <w:rsid w:val="005C13FC"/>
    <w:rsid w:val="005C1C97"/>
    <w:rsid w:val="005D2661"/>
    <w:rsid w:val="005E0BB8"/>
    <w:rsid w:val="005E488C"/>
    <w:rsid w:val="005E7CD5"/>
    <w:rsid w:val="005F3FCD"/>
    <w:rsid w:val="005F4087"/>
    <w:rsid w:val="00606FD5"/>
    <w:rsid w:val="00615A63"/>
    <w:rsid w:val="00616723"/>
    <w:rsid w:val="00632944"/>
    <w:rsid w:val="0063624C"/>
    <w:rsid w:val="006367F6"/>
    <w:rsid w:val="00637A47"/>
    <w:rsid w:val="00640219"/>
    <w:rsid w:val="00642BBD"/>
    <w:rsid w:val="006462F0"/>
    <w:rsid w:val="00655C84"/>
    <w:rsid w:val="006619D8"/>
    <w:rsid w:val="006647FC"/>
    <w:rsid w:val="00673972"/>
    <w:rsid w:val="006801BB"/>
    <w:rsid w:val="006817AB"/>
    <w:rsid w:val="00682303"/>
    <w:rsid w:val="00690967"/>
    <w:rsid w:val="00696D61"/>
    <w:rsid w:val="006A2FEB"/>
    <w:rsid w:val="006A6493"/>
    <w:rsid w:val="006A7A80"/>
    <w:rsid w:val="006B0F79"/>
    <w:rsid w:val="006C2D08"/>
    <w:rsid w:val="006C66AD"/>
    <w:rsid w:val="006D1DF4"/>
    <w:rsid w:val="006D26E1"/>
    <w:rsid w:val="006D3D16"/>
    <w:rsid w:val="006D721C"/>
    <w:rsid w:val="006E4458"/>
    <w:rsid w:val="006E557A"/>
    <w:rsid w:val="00702742"/>
    <w:rsid w:val="007045D0"/>
    <w:rsid w:val="007059DC"/>
    <w:rsid w:val="00714DE6"/>
    <w:rsid w:val="00727642"/>
    <w:rsid w:val="00734AA6"/>
    <w:rsid w:val="007356AF"/>
    <w:rsid w:val="007400D8"/>
    <w:rsid w:val="0074038F"/>
    <w:rsid w:val="0074105A"/>
    <w:rsid w:val="007454C5"/>
    <w:rsid w:val="00753034"/>
    <w:rsid w:val="0075434A"/>
    <w:rsid w:val="00764E55"/>
    <w:rsid w:val="00776E40"/>
    <w:rsid w:val="00781B8C"/>
    <w:rsid w:val="00790BC0"/>
    <w:rsid w:val="00793B9C"/>
    <w:rsid w:val="00797559"/>
    <w:rsid w:val="007A7028"/>
    <w:rsid w:val="007D33C7"/>
    <w:rsid w:val="007E2756"/>
    <w:rsid w:val="007E4F07"/>
    <w:rsid w:val="007E6B02"/>
    <w:rsid w:val="008050CD"/>
    <w:rsid w:val="008125A4"/>
    <w:rsid w:val="008144D8"/>
    <w:rsid w:val="00817AF4"/>
    <w:rsid w:val="00825144"/>
    <w:rsid w:val="00825FCA"/>
    <w:rsid w:val="00832E83"/>
    <w:rsid w:val="00833C91"/>
    <w:rsid w:val="00833DEE"/>
    <w:rsid w:val="00834F47"/>
    <w:rsid w:val="008366DD"/>
    <w:rsid w:val="008376DA"/>
    <w:rsid w:val="00845A2B"/>
    <w:rsid w:val="008468C4"/>
    <w:rsid w:val="008472D9"/>
    <w:rsid w:val="0085569B"/>
    <w:rsid w:val="0086358C"/>
    <w:rsid w:val="0086501A"/>
    <w:rsid w:val="00866FAD"/>
    <w:rsid w:val="008709C9"/>
    <w:rsid w:val="00874881"/>
    <w:rsid w:val="008776F5"/>
    <w:rsid w:val="00880115"/>
    <w:rsid w:val="00882B6E"/>
    <w:rsid w:val="00882C36"/>
    <w:rsid w:val="00884020"/>
    <w:rsid w:val="008913F5"/>
    <w:rsid w:val="008974E6"/>
    <w:rsid w:val="008B0AA9"/>
    <w:rsid w:val="008B19FA"/>
    <w:rsid w:val="008B1F91"/>
    <w:rsid w:val="008C25EE"/>
    <w:rsid w:val="008C74B9"/>
    <w:rsid w:val="008D475E"/>
    <w:rsid w:val="008E14CB"/>
    <w:rsid w:val="008E1806"/>
    <w:rsid w:val="008E1F19"/>
    <w:rsid w:val="008E6722"/>
    <w:rsid w:val="008F0349"/>
    <w:rsid w:val="0090265A"/>
    <w:rsid w:val="00902E5B"/>
    <w:rsid w:val="00902FE5"/>
    <w:rsid w:val="0090427F"/>
    <w:rsid w:val="00906695"/>
    <w:rsid w:val="00907C18"/>
    <w:rsid w:val="00912008"/>
    <w:rsid w:val="009135E5"/>
    <w:rsid w:val="00936A44"/>
    <w:rsid w:val="00936CE6"/>
    <w:rsid w:val="00942B21"/>
    <w:rsid w:val="00945EF8"/>
    <w:rsid w:val="009509DD"/>
    <w:rsid w:val="00951A5E"/>
    <w:rsid w:val="009708CB"/>
    <w:rsid w:val="009736F0"/>
    <w:rsid w:val="00976F01"/>
    <w:rsid w:val="009817DF"/>
    <w:rsid w:val="00984468"/>
    <w:rsid w:val="0098572B"/>
    <w:rsid w:val="0098766E"/>
    <w:rsid w:val="0099400A"/>
    <w:rsid w:val="009A405E"/>
    <w:rsid w:val="009B34BC"/>
    <w:rsid w:val="009B5A2D"/>
    <w:rsid w:val="009C4C29"/>
    <w:rsid w:val="009D49F1"/>
    <w:rsid w:val="009D520A"/>
    <w:rsid w:val="009D68B9"/>
    <w:rsid w:val="009F2836"/>
    <w:rsid w:val="00A03EC0"/>
    <w:rsid w:val="00A15470"/>
    <w:rsid w:val="00A1678D"/>
    <w:rsid w:val="00A21653"/>
    <w:rsid w:val="00A26280"/>
    <w:rsid w:val="00A332C9"/>
    <w:rsid w:val="00A40E44"/>
    <w:rsid w:val="00A44E02"/>
    <w:rsid w:val="00A5257F"/>
    <w:rsid w:val="00A53526"/>
    <w:rsid w:val="00A67E19"/>
    <w:rsid w:val="00A74100"/>
    <w:rsid w:val="00A85542"/>
    <w:rsid w:val="00A87D83"/>
    <w:rsid w:val="00A92B1C"/>
    <w:rsid w:val="00A93AF6"/>
    <w:rsid w:val="00A94F8A"/>
    <w:rsid w:val="00AA33D5"/>
    <w:rsid w:val="00AB1570"/>
    <w:rsid w:val="00AB76EA"/>
    <w:rsid w:val="00AC0133"/>
    <w:rsid w:val="00AC5218"/>
    <w:rsid w:val="00AD164A"/>
    <w:rsid w:val="00AD3204"/>
    <w:rsid w:val="00AD3940"/>
    <w:rsid w:val="00AD3F25"/>
    <w:rsid w:val="00AD7B60"/>
    <w:rsid w:val="00AE2A2E"/>
    <w:rsid w:val="00AE4E02"/>
    <w:rsid w:val="00AE7831"/>
    <w:rsid w:val="00AF19A0"/>
    <w:rsid w:val="00AF431A"/>
    <w:rsid w:val="00AF5E71"/>
    <w:rsid w:val="00B00834"/>
    <w:rsid w:val="00B02A36"/>
    <w:rsid w:val="00B220C7"/>
    <w:rsid w:val="00B24F7F"/>
    <w:rsid w:val="00B25A99"/>
    <w:rsid w:val="00B342F7"/>
    <w:rsid w:val="00B346C7"/>
    <w:rsid w:val="00B37A90"/>
    <w:rsid w:val="00B42E1C"/>
    <w:rsid w:val="00B5184F"/>
    <w:rsid w:val="00B52625"/>
    <w:rsid w:val="00B54179"/>
    <w:rsid w:val="00B541BE"/>
    <w:rsid w:val="00B61C3B"/>
    <w:rsid w:val="00B64882"/>
    <w:rsid w:val="00B65C76"/>
    <w:rsid w:val="00B65E39"/>
    <w:rsid w:val="00B74227"/>
    <w:rsid w:val="00B76BB7"/>
    <w:rsid w:val="00B8484C"/>
    <w:rsid w:val="00B95C84"/>
    <w:rsid w:val="00BA3C3E"/>
    <w:rsid w:val="00BA3C89"/>
    <w:rsid w:val="00BA666C"/>
    <w:rsid w:val="00BA7726"/>
    <w:rsid w:val="00BB7D30"/>
    <w:rsid w:val="00BC1AD0"/>
    <w:rsid w:val="00BC555A"/>
    <w:rsid w:val="00BC5F6A"/>
    <w:rsid w:val="00BC7323"/>
    <w:rsid w:val="00BC7554"/>
    <w:rsid w:val="00BE1E56"/>
    <w:rsid w:val="00BE2651"/>
    <w:rsid w:val="00BE72B4"/>
    <w:rsid w:val="00BF3B64"/>
    <w:rsid w:val="00BF48C9"/>
    <w:rsid w:val="00BF6DD0"/>
    <w:rsid w:val="00C0039C"/>
    <w:rsid w:val="00C00945"/>
    <w:rsid w:val="00C0395B"/>
    <w:rsid w:val="00C118A0"/>
    <w:rsid w:val="00C11BAD"/>
    <w:rsid w:val="00C125F8"/>
    <w:rsid w:val="00C1778C"/>
    <w:rsid w:val="00C20192"/>
    <w:rsid w:val="00C24D4A"/>
    <w:rsid w:val="00C34AA9"/>
    <w:rsid w:val="00C37115"/>
    <w:rsid w:val="00C400CD"/>
    <w:rsid w:val="00C424BB"/>
    <w:rsid w:val="00C448D6"/>
    <w:rsid w:val="00C64EA0"/>
    <w:rsid w:val="00C6581B"/>
    <w:rsid w:val="00C67E24"/>
    <w:rsid w:val="00C72BE3"/>
    <w:rsid w:val="00C74CCA"/>
    <w:rsid w:val="00C80029"/>
    <w:rsid w:val="00C82684"/>
    <w:rsid w:val="00C869B0"/>
    <w:rsid w:val="00CA1059"/>
    <w:rsid w:val="00CA23E0"/>
    <w:rsid w:val="00CB010A"/>
    <w:rsid w:val="00CB2183"/>
    <w:rsid w:val="00CD5B45"/>
    <w:rsid w:val="00CD682D"/>
    <w:rsid w:val="00CE1E0B"/>
    <w:rsid w:val="00CE456C"/>
    <w:rsid w:val="00CF00BE"/>
    <w:rsid w:val="00CF19B9"/>
    <w:rsid w:val="00CF389D"/>
    <w:rsid w:val="00CF4A8E"/>
    <w:rsid w:val="00D02F36"/>
    <w:rsid w:val="00D10B45"/>
    <w:rsid w:val="00D11B2B"/>
    <w:rsid w:val="00D12BDE"/>
    <w:rsid w:val="00D13EEF"/>
    <w:rsid w:val="00D17CFD"/>
    <w:rsid w:val="00D23ADB"/>
    <w:rsid w:val="00D27C7B"/>
    <w:rsid w:val="00D423EF"/>
    <w:rsid w:val="00D4722A"/>
    <w:rsid w:val="00D51C97"/>
    <w:rsid w:val="00D620EF"/>
    <w:rsid w:val="00D66E93"/>
    <w:rsid w:val="00D677EE"/>
    <w:rsid w:val="00D74BA5"/>
    <w:rsid w:val="00D77EC4"/>
    <w:rsid w:val="00D8166E"/>
    <w:rsid w:val="00D82A66"/>
    <w:rsid w:val="00D846DB"/>
    <w:rsid w:val="00D90177"/>
    <w:rsid w:val="00D91FCF"/>
    <w:rsid w:val="00D92200"/>
    <w:rsid w:val="00D9321F"/>
    <w:rsid w:val="00DA0F50"/>
    <w:rsid w:val="00DA19B7"/>
    <w:rsid w:val="00DC25C7"/>
    <w:rsid w:val="00DC719C"/>
    <w:rsid w:val="00DC72FD"/>
    <w:rsid w:val="00DD3813"/>
    <w:rsid w:val="00DE2022"/>
    <w:rsid w:val="00DE64BC"/>
    <w:rsid w:val="00DF1BA8"/>
    <w:rsid w:val="00DF29C3"/>
    <w:rsid w:val="00DF5F8C"/>
    <w:rsid w:val="00E022BB"/>
    <w:rsid w:val="00E05AEB"/>
    <w:rsid w:val="00E07264"/>
    <w:rsid w:val="00E07A5E"/>
    <w:rsid w:val="00E13E49"/>
    <w:rsid w:val="00E14FF5"/>
    <w:rsid w:val="00E15478"/>
    <w:rsid w:val="00E21531"/>
    <w:rsid w:val="00E304B3"/>
    <w:rsid w:val="00E305FF"/>
    <w:rsid w:val="00E42EE7"/>
    <w:rsid w:val="00E43705"/>
    <w:rsid w:val="00E463A9"/>
    <w:rsid w:val="00E507A7"/>
    <w:rsid w:val="00E5580D"/>
    <w:rsid w:val="00E65BF1"/>
    <w:rsid w:val="00E749BC"/>
    <w:rsid w:val="00E74F8E"/>
    <w:rsid w:val="00E754F5"/>
    <w:rsid w:val="00E77498"/>
    <w:rsid w:val="00E84A81"/>
    <w:rsid w:val="00E85FD9"/>
    <w:rsid w:val="00E919DE"/>
    <w:rsid w:val="00E94D1A"/>
    <w:rsid w:val="00EA3E18"/>
    <w:rsid w:val="00EA4863"/>
    <w:rsid w:val="00EA5A38"/>
    <w:rsid w:val="00EA6B57"/>
    <w:rsid w:val="00EA7C5E"/>
    <w:rsid w:val="00EB4C89"/>
    <w:rsid w:val="00EB6E77"/>
    <w:rsid w:val="00EC5723"/>
    <w:rsid w:val="00EC7112"/>
    <w:rsid w:val="00EC7973"/>
    <w:rsid w:val="00ED09CC"/>
    <w:rsid w:val="00ED2857"/>
    <w:rsid w:val="00EE33CB"/>
    <w:rsid w:val="00EE3EE1"/>
    <w:rsid w:val="00EF3DC1"/>
    <w:rsid w:val="00EF52D9"/>
    <w:rsid w:val="00EF781C"/>
    <w:rsid w:val="00F05805"/>
    <w:rsid w:val="00F06CE8"/>
    <w:rsid w:val="00F07259"/>
    <w:rsid w:val="00F1242F"/>
    <w:rsid w:val="00F25C5A"/>
    <w:rsid w:val="00F26246"/>
    <w:rsid w:val="00F320E1"/>
    <w:rsid w:val="00F35D29"/>
    <w:rsid w:val="00F45E8D"/>
    <w:rsid w:val="00F530D2"/>
    <w:rsid w:val="00F578FD"/>
    <w:rsid w:val="00F651F4"/>
    <w:rsid w:val="00F71D47"/>
    <w:rsid w:val="00F742AC"/>
    <w:rsid w:val="00F869DB"/>
    <w:rsid w:val="00F90781"/>
    <w:rsid w:val="00F938AD"/>
    <w:rsid w:val="00F97384"/>
    <w:rsid w:val="00FA31CC"/>
    <w:rsid w:val="00FA63BB"/>
    <w:rsid w:val="00FB5466"/>
    <w:rsid w:val="00FC10C0"/>
    <w:rsid w:val="00FD0159"/>
    <w:rsid w:val="00FD46F9"/>
    <w:rsid w:val="00FD77CC"/>
    <w:rsid w:val="00FE3361"/>
    <w:rsid w:val="00FF0DD2"/>
    <w:rsid w:val="00FF391C"/>
    <w:rsid w:val="00FF603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42370"/>
    <w:pPr>
      <w:spacing w:after="0" w:line="240" w:lineRule="auto"/>
    </w:pPr>
    <w:rPr>
      <w:rFonts w:ascii="Times New Roman" w:eastAsia="Times New Roman" w:hAnsi="Times New Roman" w:cs="Times New Roman"/>
      <w:sz w:val="24"/>
      <w:szCs w:val="24"/>
      <w:lang w:eastAsia="de-DE"/>
    </w:rPr>
  </w:style>
  <w:style w:type="paragraph" w:styleId="Titre1">
    <w:name w:val="heading 1"/>
    <w:basedOn w:val="Normal"/>
    <w:link w:val="Titre1Car"/>
    <w:uiPriority w:val="9"/>
    <w:qFormat/>
    <w:rsid w:val="00084170"/>
    <w:pPr>
      <w:spacing w:before="100" w:beforeAutospacing="1" w:after="100" w:afterAutospacing="1"/>
      <w:outlineLvl w:val="0"/>
    </w:pPr>
    <w:rPr>
      <w:b/>
      <w:bCs/>
      <w:kern w:val="36"/>
      <w:sz w:val="48"/>
      <w:szCs w:val="4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tedebasdepage">
    <w:name w:val="footnote text"/>
    <w:basedOn w:val="Normal"/>
    <w:link w:val="NotedebasdepageCar"/>
    <w:uiPriority w:val="99"/>
    <w:semiHidden/>
    <w:unhideWhenUsed/>
    <w:rsid w:val="00727642"/>
    <w:rPr>
      <w:sz w:val="20"/>
      <w:szCs w:val="20"/>
    </w:rPr>
  </w:style>
  <w:style w:type="character" w:customStyle="1" w:styleId="NotedebasdepageCar">
    <w:name w:val="Note de bas de page Car"/>
    <w:basedOn w:val="Policepardfaut"/>
    <w:link w:val="Notedebasdepage"/>
    <w:uiPriority w:val="99"/>
    <w:semiHidden/>
    <w:rsid w:val="00727642"/>
    <w:rPr>
      <w:rFonts w:ascii="Times New Roman" w:eastAsia="Times New Roman" w:hAnsi="Times New Roman" w:cs="Times New Roman"/>
      <w:sz w:val="20"/>
      <w:szCs w:val="20"/>
      <w:lang w:eastAsia="de-DE"/>
    </w:rPr>
  </w:style>
  <w:style w:type="character" w:styleId="Appelnotedebasdep">
    <w:name w:val="footnote reference"/>
    <w:basedOn w:val="Policepardfaut"/>
    <w:uiPriority w:val="99"/>
    <w:semiHidden/>
    <w:unhideWhenUsed/>
    <w:rsid w:val="00727642"/>
    <w:rPr>
      <w:vertAlign w:val="superscript"/>
    </w:rPr>
  </w:style>
  <w:style w:type="character" w:customStyle="1" w:styleId="Titre1Car">
    <w:name w:val="Titre 1 Car"/>
    <w:basedOn w:val="Policepardfaut"/>
    <w:link w:val="Titre1"/>
    <w:uiPriority w:val="9"/>
    <w:rsid w:val="00084170"/>
    <w:rPr>
      <w:rFonts w:ascii="Times New Roman" w:eastAsia="Times New Roman" w:hAnsi="Times New Roman" w:cs="Times New Roman"/>
      <w:b/>
      <w:bCs/>
      <w:kern w:val="36"/>
      <w:sz w:val="48"/>
      <w:szCs w:val="48"/>
      <w:lang w:eastAsia="de-DE"/>
    </w:rPr>
  </w:style>
  <w:style w:type="character" w:styleId="Marquedecommentaire">
    <w:name w:val="annotation reference"/>
    <w:basedOn w:val="Policepardfaut"/>
    <w:uiPriority w:val="99"/>
    <w:semiHidden/>
    <w:unhideWhenUsed/>
    <w:rsid w:val="00907C18"/>
    <w:rPr>
      <w:sz w:val="16"/>
      <w:szCs w:val="16"/>
    </w:rPr>
  </w:style>
  <w:style w:type="paragraph" w:styleId="Commentaire">
    <w:name w:val="annotation text"/>
    <w:basedOn w:val="Normal"/>
    <w:link w:val="CommentaireCar"/>
    <w:uiPriority w:val="99"/>
    <w:semiHidden/>
    <w:unhideWhenUsed/>
    <w:rsid w:val="00907C18"/>
    <w:rPr>
      <w:sz w:val="20"/>
      <w:szCs w:val="20"/>
    </w:rPr>
  </w:style>
  <w:style w:type="character" w:customStyle="1" w:styleId="CommentaireCar">
    <w:name w:val="Commentaire Car"/>
    <w:basedOn w:val="Policepardfaut"/>
    <w:link w:val="Commentaire"/>
    <w:uiPriority w:val="99"/>
    <w:semiHidden/>
    <w:rsid w:val="00907C18"/>
    <w:rPr>
      <w:rFonts w:ascii="Times New Roman" w:eastAsia="Times New Roman" w:hAnsi="Times New Roman" w:cs="Times New Roman"/>
      <w:sz w:val="20"/>
      <w:szCs w:val="20"/>
      <w:lang w:eastAsia="de-DE"/>
    </w:rPr>
  </w:style>
  <w:style w:type="paragraph" w:styleId="Objetducommentaire">
    <w:name w:val="annotation subject"/>
    <w:basedOn w:val="Commentaire"/>
    <w:next w:val="Commentaire"/>
    <w:link w:val="ObjetducommentaireCar"/>
    <w:uiPriority w:val="99"/>
    <w:semiHidden/>
    <w:unhideWhenUsed/>
    <w:rsid w:val="00907C18"/>
    <w:rPr>
      <w:b/>
      <w:bCs/>
    </w:rPr>
  </w:style>
  <w:style w:type="character" w:customStyle="1" w:styleId="ObjetducommentaireCar">
    <w:name w:val="Objet du commentaire Car"/>
    <w:basedOn w:val="CommentaireCar"/>
    <w:link w:val="Objetducommentaire"/>
    <w:uiPriority w:val="99"/>
    <w:semiHidden/>
    <w:rsid w:val="00907C18"/>
    <w:rPr>
      <w:rFonts w:ascii="Times New Roman" w:eastAsia="Times New Roman" w:hAnsi="Times New Roman" w:cs="Times New Roman"/>
      <w:b/>
      <w:bCs/>
      <w:sz w:val="20"/>
      <w:szCs w:val="20"/>
      <w:lang w:eastAsia="de-DE"/>
    </w:rPr>
  </w:style>
  <w:style w:type="paragraph" w:styleId="Textedebulles">
    <w:name w:val="Balloon Text"/>
    <w:basedOn w:val="Normal"/>
    <w:link w:val="TextedebullesCar"/>
    <w:uiPriority w:val="99"/>
    <w:semiHidden/>
    <w:unhideWhenUsed/>
    <w:rsid w:val="00907C18"/>
    <w:rPr>
      <w:rFonts w:ascii="Tahoma" w:hAnsi="Tahoma" w:cs="Tahoma"/>
      <w:sz w:val="16"/>
      <w:szCs w:val="16"/>
    </w:rPr>
  </w:style>
  <w:style w:type="character" w:customStyle="1" w:styleId="TextedebullesCar">
    <w:name w:val="Texte de bulles Car"/>
    <w:basedOn w:val="Policepardfaut"/>
    <w:link w:val="Textedebulles"/>
    <w:uiPriority w:val="99"/>
    <w:semiHidden/>
    <w:rsid w:val="00907C18"/>
    <w:rPr>
      <w:rFonts w:ascii="Tahoma" w:eastAsia="Times New Roman" w:hAnsi="Tahoma" w:cs="Tahoma"/>
      <w:sz w:val="16"/>
      <w:szCs w:val="16"/>
      <w:lang w:eastAsia="de-DE"/>
    </w:rPr>
  </w:style>
  <w:style w:type="character" w:styleId="Lienhypertexte">
    <w:name w:val="Hyperlink"/>
    <w:basedOn w:val="Policepardfaut"/>
    <w:uiPriority w:val="99"/>
    <w:semiHidden/>
    <w:unhideWhenUsed/>
    <w:rsid w:val="00EC7112"/>
    <w:rPr>
      <w:color w:val="0000FF"/>
      <w:u w:val="single"/>
    </w:rPr>
  </w:style>
  <w:style w:type="paragraph" w:customStyle="1" w:styleId="Literaturverzeichnis1">
    <w:name w:val="Literaturverzeichnis1"/>
    <w:basedOn w:val="Normal"/>
    <w:link w:val="BibliographyZchn"/>
    <w:rsid w:val="00C37115"/>
    <w:pPr>
      <w:ind w:left="720" w:hanging="720"/>
      <w:jc w:val="both"/>
    </w:pPr>
  </w:style>
  <w:style w:type="character" w:customStyle="1" w:styleId="BibliographyZchn">
    <w:name w:val="Bibliography Zchn"/>
    <w:basedOn w:val="Policepardfaut"/>
    <w:link w:val="Literaturverzeichnis1"/>
    <w:rsid w:val="00C37115"/>
    <w:rPr>
      <w:rFonts w:ascii="Times New Roman" w:eastAsia="Times New Roman" w:hAnsi="Times New Roman" w:cs="Times New Roman"/>
      <w:sz w:val="24"/>
      <w:szCs w:val="24"/>
      <w:lang w:eastAsia="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42370"/>
    <w:pPr>
      <w:spacing w:after="0" w:line="240" w:lineRule="auto"/>
    </w:pPr>
    <w:rPr>
      <w:rFonts w:ascii="Times New Roman" w:eastAsia="Times New Roman" w:hAnsi="Times New Roman" w:cs="Times New Roman"/>
      <w:sz w:val="24"/>
      <w:szCs w:val="24"/>
      <w:lang w:eastAsia="de-DE"/>
    </w:rPr>
  </w:style>
  <w:style w:type="paragraph" w:styleId="Titre1">
    <w:name w:val="heading 1"/>
    <w:basedOn w:val="Normal"/>
    <w:link w:val="Titre1Car"/>
    <w:uiPriority w:val="9"/>
    <w:qFormat/>
    <w:rsid w:val="00084170"/>
    <w:pPr>
      <w:spacing w:before="100" w:beforeAutospacing="1" w:after="100" w:afterAutospacing="1"/>
      <w:outlineLvl w:val="0"/>
    </w:pPr>
    <w:rPr>
      <w:b/>
      <w:bCs/>
      <w:kern w:val="36"/>
      <w:sz w:val="48"/>
      <w:szCs w:val="4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tedebasdepage">
    <w:name w:val="footnote text"/>
    <w:basedOn w:val="Normal"/>
    <w:link w:val="NotedebasdepageCar"/>
    <w:uiPriority w:val="99"/>
    <w:semiHidden/>
    <w:unhideWhenUsed/>
    <w:rsid w:val="00727642"/>
    <w:rPr>
      <w:sz w:val="20"/>
      <w:szCs w:val="20"/>
    </w:rPr>
  </w:style>
  <w:style w:type="character" w:customStyle="1" w:styleId="NotedebasdepageCar">
    <w:name w:val="Note de bas de page Car"/>
    <w:basedOn w:val="Policepardfaut"/>
    <w:link w:val="Notedebasdepage"/>
    <w:uiPriority w:val="99"/>
    <w:semiHidden/>
    <w:rsid w:val="00727642"/>
    <w:rPr>
      <w:rFonts w:ascii="Times New Roman" w:eastAsia="Times New Roman" w:hAnsi="Times New Roman" w:cs="Times New Roman"/>
      <w:sz w:val="20"/>
      <w:szCs w:val="20"/>
      <w:lang w:eastAsia="de-DE"/>
    </w:rPr>
  </w:style>
  <w:style w:type="character" w:styleId="Appelnotedebasdep">
    <w:name w:val="footnote reference"/>
    <w:basedOn w:val="Policepardfaut"/>
    <w:uiPriority w:val="99"/>
    <w:semiHidden/>
    <w:unhideWhenUsed/>
    <w:rsid w:val="00727642"/>
    <w:rPr>
      <w:vertAlign w:val="superscript"/>
    </w:rPr>
  </w:style>
  <w:style w:type="character" w:customStyle="1" w:styleId="Titre1Car">
    <w:name w:val="Titre 1 Car"/>
    <w:basedOn w:val="Policepardfaut"/>
    <w:link w:val="Titre1"/>
    <w:uiPriority w:val="9"/>
    <w:rsid w:val="00084170"/>
    <w:rPr>
      <w:rFonts w:ascii="Times New Roman" w:eastAsia="Times New Roman" w:hAnsi="Times New Roman" w:cs="Times New Roman"/>
      <w:b/>
      <w:bCs/>
      <w:kern w:val="36"/>
      <w:sz w:val="48"/>
      <w:szCs w:val="48"/>
      <w:lang w:eastAsia="de-DE"/>
    </w:rPr>
  </w:style>
  <w:style w:type="character" w:styleId="Marquedecommentaire">
    <w:name w:val="annotation reference"/>
    <w:basedOn w:val="Policepardfaut"/>
    <w:uiPriority w:val="99"/>
    <w:semiHidden/>
    <w:unhideWhenUsed/>
    <w:rsid w:val="00907C18"/>
    <w:rPr>
      <w:sz w:val="16"/>
      <w:szCs w:val="16"/>
    </w:rPr>
  </w:style>
  <w:style w:type="paragraph" w:styleId="Commentaire">
    <w:name w:val="annotation text"/>
    <w:basedOn w:val="Normal"/>
    <w:link w:val="CommentaireCar"/>
    <w:uiPriority w:val="99"/>
    <w:semiHidden/>
    <w:unhideWhenUsed/>
    <w:rsid w:val="00907C18"/>
    <w:rPr>
      <w:sz w:val="20"/>
      <w:szCs w:val="20"/>
    </w:rPr>
  </w:style>
  <w:style w:type="character" w:customStyle="1" w:styleId="CommentaireCar">
    <w:name w:val="Commentaire Car"/>
    <w:basedOn w:val="Policepardfaut"/>
    <w:link w:val="Commentaire"/>
    <w:uiPriority w:val="99"/>
    <w:semiHidden/>
    <w:rsid w:val="00907C18"/>
    <w:rPr>
      <w:rFonts w:ascii="Times New Roman" w:eastAsia="Times New Roman" w:hAnsi="Times New Roman" w:cs="Times New Roman"/>
      <w:sz w:val="20"/>
      <w:szCs w:val="20"/>
      <w:lang w:eastAsia="de-DE"/>
    </w:rPr>
  </w:style>
  <w:style w:type="paragraph" w:styleId="Objetducommentaire">
    <w:name w:val="annotation subject"/>
    <w:basedOn w:val="Commentaire"/>
    <w:next w:val="Commentaire"/>
    <w:link w:val="ObjetducommentaireCar"/>
    <w:uiPriority w:val="99"/>
    <w:semiHidden/>
    <w:unhideWhenUsed/>
    <w:rsid w:val="00907C18"/>
    <w:rPr>
      <w:b/>
      <w:bCs/>
    </w:rPr>
  </w:style>
  <w:style w:type="character" w:customStyle="1" w:styleId="ObjetducommentaireCar">
    <w:name w:val="Objet du commentaire Car"/>
    <w:basedOn w:val="CommentaireCar"/>
    <w:link w:val="Objetducommentaire"/>
    <w:uiPriority w:val="99"/>
    <w:semiHidden/>
    <w:rsid w:val="00907C18"/>
    <w:rPr>
      <w:rFonts w:ascii="Times New Roman" w:eastAsia="Times New Roman" w:hAnsi="Times New Roman" w:cs="Times New Roman"/>
      <w:b/>
      <w:bCs/>
      <w:sz w:val="20"/>
      <w:szCs w:val="20"/>
      <w:lang w:eastAsia="de-DE"/>
    </w:rPr>
  </w:style>
  <w:style w:type="paragraph" w:styleId="Textedebulles">
    <w:name w:val="Balloon Text"/>
    <w:basedOn w:val="Normal"/>
    <w:link w:val="TextedebullesCar"/>
    <w:uiPriority w:val="99"/>
    <w:semiHidden/>
    <w:unhideWhenUsed/>
    <w:rsid w:val="00907C18"/>
    <w:rPr>
      <w:rFonts w:ascii="Tahoma" w:hAnsi="Tahoma" w:cs="Tahoma"/>
      <w:sz w:val="16"/>
      <w:szCs w:val="16"/>
    </w:rPr>
  </w:style>
  <w:style w:type="character" w:customStyle="1" w:styleId="TextedebullesCar">
    <w:name w:val="Texte de bulles Car"/>
    <w:basedOn w:val="Policepardfaut"/>
    <w:link w:val="Textedebulles"/>
    <w:uiPriority w:val="99"/>
    <w:semiHidden/>
    <w:rsid w:val="00907C18"/>
    <w:rPr>
      <w:rFonts w:ascii="Tahoma" w:eastAsia="Times New Roman" w:hAnsi="Tahoma" w:cs="Tahoma"/>
      <w:sz w:val="16"/>
      <w:szCs w:val="16"/>
      <w:lang w:eastAsia="de-DE"/>
    </w:rPr>
  </w:style>
  <w:style w:type="character" w:styleId="Lienhypertexte">
    <w:name w:val="Hyperlink"/>
    <w:basedOn w:val="Policepardfaut"/>
    <w:uiPriority w:val="99"/>
    <w:semiHidden/>
    <w:unhideWhenUsed/>
    <w:rsid w:val="00EC7112"/>
    <w:rPr>
      <w:color w:val="0000FF"/>
      <w:u w:val="single"/>
    </w:rPr>
  </w:style>
  <w:style w:type="paragraph" w:customStyle="1" w:styleId="Literaturverzeichnis1">
    <w:name w:val="Literaturverzeichnis1"/>
    <w:basedOn w:val="Normal"/>
    <w:link w:val="BibliographyZchn"/>
    <w:rsid w:val="00C37115"/>
    <w:pPr>
      <w:ind w:left="720" w:hanging="720"/>
      <w:jc w:val="both"/>
    </w:pPr>
  </w:style>
  <w:style w:type="character" w:customStyle="1" w:styleId="BibliographyZchn">
    <w:name w:val="Bibliography Zchn"/>
    <w:basedOn w:val="Policepardfaut"/>
    <w:link w:val="Literaturverzeichnis1"/>
    <w:rsid w:val="00C37115"/>
    <w:rPr>
      <w:rFonts w:ascii="Times New Roman" w:eastAsia="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7940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de.wikipedia.org/wiki/Itzhok_Lejb_Perez" TargetMode="External"/><Relationship Id="rId3" Type="http://schemas.openxmlformats.org/officeDocument/2006/relationships/settings" Target="settings.xml"/><Relationship Id="rId7" Type="http://schemas.openxmlformats.org/officeDocument/2006/relationships/hyperlink" Target="http://de.wikipedia.org/wiki/Mendele_Moicher_Sfori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de.wikipedia.org/wiki/Israel_Aksenfeld"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de.wikipedia.org/w/index.php?title=Sheldon_Harnick&amp;action=edit&amp;redlink=1" TargetMode="External"/><Relationship Id="rId2" Type="http://schemas.openxmlformats.org/officeDocument/2006/relationships/hyperlink" Target="http://de.wikipedia.org/wiki/Jerry_Bock" TargetMode="External"/><Relationship Id="rId1" Type="http://schemas.openxmlformats.org/officeDocument/2006/relationships/hyperlink" Target="http://de.wikipedia.org/wiki/Joseph_Stein"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10</Pages>
  <Words>4870</Words>
  <Characters>26789</Characters>
  <Application>Microsoft Office Word</Application>
  <DocSecurity>0</DocSecurity>
  <Lines>223</Lines>
  <Paragraphs>63</Paragraphs>
  <ScaleCrop>false</ScaleCrop>
  <HeadingPairs>
    <vt:vector size="2" baseType="variant">
      <vt:variant>
        <vt:lpstr>Titel</vt:lpstr>
      </vt:variant>
      <vt:variant>
        <vt:i4>1</vt:i4>
      </vt:variant>
    </vt:vector>
  </HeadingPairs>
  <TitlesOfParts>
    <vt:vector size="1" baseType="lpstr">
      <vt:lpstr/>
    </vt:vector>
  </TitlesOfParts>
  <Company>Frost-RL</Company>
  <LinksUpToDate>false</LinksUpToDate>
  <CharactersWithSpaces>31596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Herr</dc:creator>
  <cp:lastModifiedBy>Aude_Meziani</cp:lastModifiedBy>
  <cp:revision>2</cp:revision>
  <dcterms:created xsi:type="dcterms:W3CDTF">2013-06-18T12:19:00Z</dcterms:created>
  <dcterms:modified xsi:type="dcterms:W3CDTF">2013-06-18T12:19:00Z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zotero-version="2.1.10"&gt;&lt;session id="yvEAdff5"/&gt;&lt;style id="http://www.zotero.org/styles/chicago-author-date" hasBibliography="1" bibliographyStyleHasBeenSet="1"/&gt;&lt;prefs&gt;&lt;pref name="fieldType" value="Field"/&gt;&lt;pref name="noteType" val</vt:lpwstr>
  </property>
  <property fmtid="{D5CDD505-2E9C-101B-9397-08002B2CF9AE}" pid="3" name="ZOTERO_PREF_2">
    <vt:lpwstr>ue="0"/&gt;&lt;/prefs&gt;&lt;/data&gt;</vt:lpwstr>
  </property>
</Properties>
</file>